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Look w:val="04A0" w:firstRow="1" w:lastRow="0" w:firstColumn="1" w:lastColumn="0" w:noHBand="0" w:noVBand="1"/>
      </w:tblPr>
      <w:tblGrid>
        <w:gridCol w:w="2616"/>
        <w:gridCol w:w="3930"/>
        <w:gridCol w:w="2616"/>
      </w:tblGrid>
      <w:tr w:rsidR="00D81A0D" w:rsidTr="00D81A0D">
        <w:trPr>
          <w:tblCellSpacing w:w="15" w:type="dxa"/>
        </w:trPr>
        <w:tc>
          <w:tcPr>
            <w:tcW w:w="1650" w:type="pct"/>
            <w:tcMar>
              <w:top w:w="15" w:type="dxa"/>
              <w:left w:w="15" w:type="dxa"/>
              <w:bottom w:w="15" w:type="dxa"/>
              <w:right w:w="15" w:type="dxa"/>
            </w:tcMar>
            <w:vAlign w:val="center"/>
            <w:hideMark/>
          </w:tcPr>
          <w:p w:rsidR="00D81A0D" w:rsidRDefault="00D81A0D">
            <w:pPr>
              <w:rPr>
                <w:rFonts w:eastAsia="Times New Roman"/>
              </w:rPr>
            </w:pPr>
            <w:r>
              <w:rPr>
                <w:rFonts w:eastAsia="Times New Roman"/>
                <w:noProof/>
                <w:color w:val="0000FF"/>
              </w:rPr>
              <w:drawing>
                <wp:inline distT="0" distB="0" distL="0" distR="0">
                  <wp:extent cx="1190625" cy="1190625"/>
                  <wp:effectExtent l="0" t="0" r="9525" b="9525"/>
                  <wp:docPr id="6" name="Afbeelding 6" descr="http://hugin.info/133948/B/52836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gin.info/133948/B/5283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1700" w:type="pct"/>
            <w:tcMar>
              <w:top w:w="15" w:type="dxa"/>
              <w:left w:w="15" w:type="dxa"/>
              <w:bottom w:w="15" w:type="dxa"/>
              <w:right w:w="15" w:type="dxa"/>
            </w:tcMar>
            <w:vAlign w:val="center"/>
            <w:hideMark/>
          </w:tcPr>
          <w:p w:rsidR="00D81A0D" w:rsidRDefault="00D81A0D">
            <w:pPr>
              <w:rPr>
                <w:rFonts w:eastAsia="Times New Roman"/>
              </w:rPr>
            </w:pPr>
            <w:r>
              <w:rPr>
                <w:rFonts w:eastAsia="Times New Roman"/>
                <w:noProof/>
                <w:color w:val="0000FF"/>
              </w:rPr>
              <w:drawing>
                <wp:inline distT="0" distB="0" distL="0" distR="0">
                  <wp:extent cx="2457450" cy="1971675"/>
                  <wp:effectExtent l="0" t="0" r="0" b="9525"/>
                  <wp:docPr id="5" name="Afbeelding 5" descr="http://hugin.info/133948/B/556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gin.info/133948/B/5560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971675"/>
                          </a:xfrm>
                          <a:prstGeom prst="rect">
                            <a:avLst/>
                          </a:prstGeom>
                          <a:noFill/>
                          <a:ln>
                            <a:noFill/>
                          </a:ln>
                        </pic:spPr>
                      </pic:pic>
                    </a:graphicData>
                  </a:graphic>
                </wp:inline>
              </w:drawing>
            </w:r>
          </w:p>
        </w:tc>
        <w:tc>
          <w:tcPr>
            <w:tcW w:w="1650" w:type="pct"/>
            <w:tcMar>
              <w:top w:w="15" w:type="dxa"/>
              <w:left w:w="15" w:type="dxa"/>
              <w:bottom w:w="15" w:type="dxa"/>
              <w:right w:w="15" w:type="dxa"/>
            </w:tcMar>
            <w:vAlign w:val="center"/>
            <w:hideMark/>
          </w:tcPr>
          <w:p w:rsidR="00D81A0D" w:rsidRDefault="00D81A0D">
            <w:pPr>
              <w:jc w:val="right"/>
              <w:rPr>
                <w:rFonts w:eastAsia="Times New Roman"/>
              </w:rPr>
            </w:pPr>
            <w:r>
              <w:rPr>
                <w:rFonts w:eastAsia="Times New Roman"/>
              </w:rPr>
              <w:t xml:space="preserve">  </w:t>
            </w:r>
          </w:p>
        </w:tc>
      </w:tr>
    </w:tbl>
    <w:p w:rsidR="00D81A0D" w:rsidRDefault="00D81A0D" w:rsidP="00D81A0D">
      <w:pPr>
        <w:rPr>
          <w:rFonts w:eastAsia="Times New Roman"/>
        </w:rPr>
      </w:pPr>
    </w:p>
    <w:p w:rsidR="00D81A0D" w:rsidRDefault="00D81A0D" w:rsidP="00D81A0D">
      <w:pPr>
        <w:rPr>
          <w:rFonts w:ascii="Arial" w:eastAsia="Times New Roman" w:hAnsi="Arial" w:cs="Arial"/>
        </w:rPr>
      </w:pPr>
      <w:bookmarkStart w:id="0" w:name="_GoBack"/>
      <w:r>
        <w:rPr>
          <w:rFonts w:ascii="Arial" w:eastAsia="Times New Roman" w:hAnsi="Arial" w:cs="Arial"/>
          <w:b/>
          <w:bCs/>
        </w:rPr>
        <w:t>Kinepolis Group: Jaarverslag 2012, Green Star en Corporate Brochure</w:t>
      </w:r>
      <w:bookmarkEnd w:id="0"/>
      <w:r>
        <w:rPr>
          <w:rFonts w:ascii="Arial" w:eastAsia="Times New Roman" w:hAnsi="Arial" w:cs="Arial"/>
        </w:rPr>
        <w:t xml:space="preserve"> </w:t>
      </w:r>
    </w:p>
    <w:p w:rsidR="00D81A0D" w:rsidRDefault="00D81A0D" w:rsidP="00D81A0D">
      <w:pPr>
        <w:rPr>
          <w:rFonts w:eastAsia="Times New Roman"/>
        </w:rPr>
      </w:pPr>
    </w:p>
    <w:p w:rsidR="00D81A0D" w:rsidRDefault="00D81A0D" w:rsidP="00D81A0D">
      <w:pPr>
        <w:rPr>
          <w:rFonts w:ascii="Arial" w:eastAsia="Times New Roman" w:hAnsi="Arial" w:cs="Arial"/>
          <w:sz w:val="20"/>
          <w:szCs w:val="20"/>
        </w:rPr>
      </w:pPr>
      <w:r>
        <w:rPr>
          <w:rStyle w:val="Nadruk"/>
          <w:rFonts w:ascii="Trebuchet MS" w:eastAsia="Times New Roman" w:hAnsi="Trebuchet MS" w:cs="Arial"/>
          <w:sz w:val="20"/>
          <w:szCs w:val="20"/>
        </w:rPr>
        <w:t>Mededeling aan aandeelhouders, filmliefhebbers, medewerkers, journalisten en alle andere partners van Kinepolis Group</w:t>
      </w:r>
    </w:p>
    <w:p w:rsidR="00D81A0D" w:rsidRDefault="00D81A0D" w:rsidP="00D81A0D">
      <w:pPr>
        <w:rPr>
          <w:rFonts w:ascii="Arial" w:eastAsia="Times New Roman" w:hAnsi="Arial" w:cs="Arial"/>
          <w:sz w:val="20"/>
          <w:szCs w:val="20"/>
        </w:rPr>
      </w:pPr>
      <w:r>
        <w:rPr>
          <w:rStyle w:val="hs11"/>
          <w:rFonts w:ascii="Trebuchet MS" w:eastAsia="Times New Roman" w:hAnsi="Trebuchet MS" w:cs="Arial"/>
        </w:rPr>
        <w:t> </w:t>
      </w:r>
    </w:p>
    <w:p w:rsidR="00D81A0D" w:rsidRDefault="00D81A0D" w:rsidP="00D81A0D">
      <w:pPr>
        <w:rPr>
          <w:rFonts w:ascii="Arial" w:eastAsia="Times New Roman" w:hAnsi="Arial" w:cs="Arial"/>
          <w:sz w:val="20"/>
          <w:szCs w:val="20"/>
        </w:rPr>
      </w:pPr>
      <w:r>
        <w:rPr>
          <w:rStyle w:val="Zwaar"/>
          <w:rFonts w:ascii="Trebuchet MS" w:eastAsia="Times New Roman" w:hAnsi="Trebuchet MS" w:cs="Arial"/>
          <w:sz w:val="20"/>
          <w:szCs w:val="20"/>
        </w:rPr>
        <w:t>Het doet ons bijzonder genoegen u ons jaarverslag 2012 en onze Green Star -brochure voor te stellen. Deze nieuwe publicaties en onze bedrijfsbrochure vatten ons bedrijf overzichtelijk samen.</w:t>
      </w:r>
      <w:r>
        <w:rPr>
          <w:rStyle w:val="hs11"/>
          <w:rFonts w:ascii="Trebuchet MS" w:eastAsia="Times New Roman" w:hAnsi="Trebuchet MS" w:cs="Arial"/>
        </w:rPr>
        <w:t xml:space="preserve">  </w:t>
      </w:r>
    </w:p>
    <w:p w:rsidR="00D81A0D" w:rsidRDefault="00D81A0D" w:rsidP="00D81A0D">
      <w:pPr>
        <w:rPr>
          <w:rFonts w:ascii="Arial" w:eastAsia="Times New Roman" w:hAnsi="Arial" w:cs="Arial"/>
          <w:sz w:val="20"/>
          <w:szCs w:val="20"/>
        </w:rPr>
      </w:pPr>
      <w:r>
        <w:rPr>
          <w:rStyle w:val="hs11"/>
          <w:rFonts w:ascii="Trebuchet MS" w:eastAsia="Times New Roman" w:hAnsi="Trebuchet MS" w:cs="Arial"/>
        </w:rPr>
        <w:t> </w:t>
      </w:r>
    </w:p>
    <w:p w:rsidR="00D81A0D" w:rsidRDefault="00D81A0D" w:rsidP="00D81A0D">
      <w:pPr>
        <w:rPr>
          <w:rFonts w:ascii="Arial" w:eastAsia="Times New Roman" w:hAnsi="Arial" w:cs="Arial"/>
          <w:sz w:val="20"/>
          <w:szCs w:val="20"/>
        </w:rPr>
      </w:pPr>
      <w:hyperlink r:id="rId8" w:tgtFrame="_blank" w:history="1">
        <w:r>
          <w:rPr>
            <w:rStyle w:val="Hyperlink"/>
            <w:rFonts w:ascii="Trebuchet MS" w:eastAsia="Times New Roman" w:hAnsi="Trebuchet MS" w:cs="Arial"/>
            <w:sz w:val="20"/>
            <w:szCs w:val="20"/>
          </w:rPr>
          <w:t>Het jaarverslag</w:t>
        </w:r>
      </w:hyperlink>
      <w:r>
        <w:rPr>
          <w:rStyle w:val="hs11"/>
          <w:rFonts w:ascii="Trebuchet MS" w:eastAsia="Times New Roman" w:hAnsi="Trebuchet MS" w:cs="Arial"/>
        </w:rPr>
        <w:t> omvat een gedetailleerd overzicht van de jongste resultaten van Kinepolis Group. Naast het financieel rapport worden ook het verslag van de Raad van Bestuur en de brief aan de aandeelhouders gepresenteerd.</w:t>
      </w:r>
    </w:p>
    <w:p w:rsidR="00D81A0D" w:rsidRDefault="00D81A0D" w:rsidP="00D81A0D">
      <w:pPr>
        <w:rPr>
          <w:rFonts w:ascii="Arial" w:eastAsia="Times New Roman" w:hAnsi="Arial" w:cs="Arial"/>
          <w:sz w:val="20"/>
          <w:szCs w:val="20"/>
        </w:rPr>
      </w:pPr>
    </w:p>
    <w:p w:rsidR="00D81A0D" w:rsidRDefault="00D81A0D" w:rsidP="00D81A0D">
      <w:pPr>
        <w:rPr>
          <w:rFonts w:ascii="Arial" w:eastAsia="Times New Roman" w:hAnsi="Arial" w:cs="Arial"/>
          <w:sz w:val="20"/>
          <w:szCs w:val="20"/>
        </w:rPr>
      </w:pPr>
      <w:r>
        <w:rPr>
          <w:rStyle w:val="hs11"/>
          <w:rFonts w:ascii="Trebuchet MS" w:eastAsia="Times New Roman" w:hAnsi="Trebuchet MS" w:cs="Arial"/>
        </w:rPr>
        <w:t xml:space="preserve">Als aanvulling op deze wettelijke publicatie stellen wij </w:t>
      </w:r>
      <w:hyperlink r:id="rId9" w:tgtFrame="_blank" w:history="1">
        <w:r>
          <w:rPr>
            <w:rStyle w:val="Hyperlink"/>
            <w:rFonts w:ascii="Trebuchet MS" w:eastAsia="Times New Roman" w:hAnsi="Trebuchet MS" w:cs="Arial"/>
            <w:sz w:val="20"/>
            <w:szCs w:val="20"/>
          </w:rPr>
          <w:t>ons duurzaamheidsproject Green Star</w:t>
        </w:r>
      </w:hyperlink>
      <w:r>
        <w:rPr>
          <w:rStyle w:val="hs11"/>
          <w:rFonts w:ascii="Trebuchet MS" w:eastAsia="Times New Roman" w:hAnsi="Trebuchet MS" w:cs="Arial"/>
        </w:rPr>
        <w:t xml:space="preserve"> voor, de leidraad, het motto van ons duurzaam beleid in al zijn facetten. Green Star maakt alsmaar meer deel uit van onze dagdagelijkse beslissingsprocessen en bedrijfsvoering.</w:t>
      </w:r>
    </w:p>
    <w:p w:rsidR="00D81A0D" w:rsidRDefault="00D81A0D" w:rsidP="00D81A0D">
      <w:pPr>
        <w:rPr>
          <w:rFonts w:ascii="Arial" w:eastAsia="Times New Roman" w:hAnsi="Arial" w:cs="Arial"/>
          <w:sz w:val="20"/>
          <w:szCs w:val="20"/>
        </w:rPr>
      </w:pPr>
    </w:p>
    <w:p w:rsidR="00D81A0D" w:rsidRDefault="00D81A0D" w:rsidP="00D81A0D">
      <w:pPr>
        <w:rPr>
          <w:rFonts w:ascii="Arial" w:eastAsia="Times New Roman" w:hAnsi="Arial" w:cs="Arial"/>
          <w:sz w:val="20"/>
          <w:szCs w:val="20"/>
        </w:rPr>
      </w:pPr>
      <w:hyperlink r:id="rId10" w:tgtFrame="_blank" w:history="1">
        <w:r>
          <w:rPr>
            <w:rStyle w:val="Hyperlink"/>
            <w:rFonts w:ascii="Trebuchet MS" w:eastAsia="Times New Roman" w:hAnsi="Trebuchet MS" w:cs="Arial"/>
            <w:sz w:val="20"/>
            <w:szCs w:val="20"/>
          </w:rPr>
          <w:t>De corporate brochure</w:t>
        </w:r>
      </w:hyperlink>
      <w:r>
        <w:rPr>
          <w:rStyle w:val="hs11"/>
          <w:rFonts w:ascii="Trebuchet MS" w:eastAsia="Times New Roman" w:hAnsi="Trebuchet MS" w:cs="Arial"/>
        </w:rPr>
        <w:t xml:space="preserve"> werpt een breder licht op onze missie en strategie, onze medewerkers, onze kernactiviteiten en tal van andere aspecten van het leven binnen onze groep.</w:t>
      </w:r>
    </w:p>
    <w:p w:rsidR="00D81A0D" w:rsidRDefault="00D81A0D" w:rsidP="00D81A0D">
      <w:pPr>
        <w:rPr>
          <w:rFonts w:ascii="Arial" w:eastAsia="Times New Roman" w:hAnsi="Arial" w:cs="Arial"/>
          <w:sz w:val="20"/>
          <w:szCs w:val="20"/>
        </w:rPr>
      </w:pPr>
    </w:p>
    <w:p w:rsidR="00D81A0D" w:rsidRDefault="00D81A0D" w:rsidP="00D81A0D">
      <w:pPr>
        <w:rPr>
          <w:rFonts w:ascii="Arial" w:eastAsia="Times New Roman" w:hAnsi="Arial" w:cs="Arial"/>
          <w:sz w:val="20"/>
          <w:szCs w:val="20"/>
        </w:rPr>
      </w:pPr>
      <w:r>
        <w:rPr>
          <w:rStyle w:val="hs11"/>
          <w:rFonts w:ascii="Trebuchet MS" w:eastAsia="Times New Roman" w:hAnsi="Trebuchet MS" w:cs="Arial"/>
        </w:rPr>
        <w:t>Op 17 mei 2013 om 10.00u gaat de Algemene Vergadering door op de zetel van Kinepolis Group NV (Eeuwfeestlaan 20, 1020 Brussel).</w:t>
      </w:r>
    </w:p>
    <w:p w:rsidR="00D81A0D" w:rsidRDefault="00D81A0D" w:rsidP="00D81A0D">
      <w:pPr>
        <w:rPr>
          <w:rFonts w:ascii="Arial" w:eastAsia="Times New Roman" w:hAnsi="Arial" w:cs="Arial"/>
          <w:sz w:val="20"/>
          <w:szCs w:val="20"/>
        </w:rPr>
      </w:pPr>
      <w:hyperlink r:id="rId11" w:tgtFrame="_blank" w:history="1">
        <w:r>
          <w:rPr>
            <w:rStyle w:val="Hyperlink"/>
            <w:rFonts w:ascii="Trebuchet MS" w:eastAsia="Times New Roman" w:hAnsi="Trebuchet MS" w:cs="Arial"/>
            <w:sz w:val="20"/>
            <w:szCs w:val="20"/>
          </w:rPr>
          <w:t>Link naar de oproeping, volmacht en overige stukken van de Algemene vergadering</w:t>
        </w:r>
      </w:hyperlink>
    </w:p>
    <w:p w:rsidR="00D81A0D" w:rsidRPr="00D81A0D" w:rsidRDefault="00D81A0D" w:rsidP="00D81A0D">
      <w:pPr>
        <w:rPr>
          <w:rFonts w:ascii="Arial" w:eastAsia="Times New Roman" w:hAnsi="Arial" w:cs="Arial"/>
          <w:sz w:val="20"/>
          <w:szCs w:val="20"/>
        </w:rPr>
      </w:pPr>
      <w:r w:rsidRPr="00D81A0D">
        <w:rPr>
          <w:rStyle w:val="hs11"/>
          <w:rFonts w:ascii="Trebuchet MS" w:eastAsia="Times New Roman" w:hAnsi="Trebuchet MS" w:cs="Arial"/>
        </w:rPr>
        <w:t> </w:t>
      </w:r>
    </w:p>
    <w:p w:rsidR="00D81A0D" w:rsidRPr="00D81A0D" w:rsidRDefault="00D81A0D" w:rsidP="00D81A0D">
      <w:pPr>
        <w:rPr>
          <w:rFonts w:ascii="Arial" w:eastAsia="Times New Roman" w:hAnsi="Arial" w:cs="Arial"/>
          <w:sz w:val="20"/>
          <w:szCs w:val="20"/>
        </w:rPr>
      </w:pPr>
    </w:p>
    <w:p w:rsidR="00D81A0D" w:rsidRPr="00D81A0D" w:rsidRDefault="00D81A0D" w:rsidP="00D81A0D">
      <w:pPr>
        <w:rPr>
          <w:rFonts w:ascii="Arial" w:eastAsia="Times New Roman" w:hAnsi="Arial" w:cs="Arial"/>
          <w:sz w:val="20"/>
          <w:szCs w:val="20"/>
          <w:lang w:val="en-US"/>
        </w:rPr>
      </w:pPr>
      <w:proofErr w:type="spellStart"/>
      <w:r w:rsidRPr="00D81A0D">
        <w:rPr>
          <w:rStyle w:val="hs11"/>
          <w:rFonts w:ascii="Trebuchet MS" w:eastAsia="Times New Roman" w:hAnsi="Trebuchet MS" w:cs="Arial"/>
          <w:lang w:val="en-US"/>
        </w:rPr>
        <w:t>Kinepolis</w:t>
      </w:r>
      <w:proofErr w:type="spellEnd"/>
      <w:r w:rsidRPr="00D81A0D">
        <w:rPr>
          <w:rStyle w:val="hs11"/>
          <w:rFonts w:ascii="Trebuchet MS" w:eastAsia="Times New Roman" w:hAnsi="Trebuchet MS" w:cs="Arial"/>
          <w:lang w:val="en-US"/>
        </w:rPr>
        <w:t xml:space="preserve"> Press Office</w:t>
      </w:r>
    </w:p>
    <w:p w:rsidR="00D81A0D" w:rsidRPr="00D81A0D" w:rsidRDefault="00D81A0D" w:rsidP="00D81A0D">
      <w:pPr>
        <w:rPr>
          <w:rFonts w:ascii="Arial" w:eastAsia="Times New Roman" w:hAnsi="Arial" w:cs="Arial"/>
          <w:sz w:val="20"/>
          <w:szCs w:val="20"/>
          <w:lang w:val="en-US"/>
        </w:rPr>
      </w:pPr>
      <w:hyperlink r:id="rId12" w:history="1">
        <w:r w:rsidRPr="00D81A0D">
          <w:rPr>
            <w:rStyle w:val="Hyperlink"/>
            <w:rFonts w:ascii="Trebuchet MS" w:eastAsia="Times New Roman" w:hAnsi="Trebuchet MS" w:cs="Arial"/>
            <w:sz w:val="20"/>
            <w:szCs w:val="20"/>
            <w:lang w:val="en-US"/>
          </w:rPr>
          <w:t>pressoffice@kinepolis.com</w:t>
        </w:r>
      </w:hyperlink>
    </w:p>
    <w:p w:rsidR="00D81A0D" w:rsidRPr="00D81A0D" w:rsidRDefault="00D81A0D" w:rsidP="00D81A0D">
      <w:pPr>
        <w:rPr>
          <w:rFonts w:ascii="Arial" w:eastAsia="Times New Roman" w:hAnsi="Arial" w:cs="Arial"/>
          <w:sz w:val="20"/>
          <w:szCs w:val="20"/>
          <w:lang w:val="en-US"/>
        </w:rPr>
      </w:pPr>
      <w:r w:rsidRPr="00D81A0D">
        <w:rPr>
          <w:rStyle w:val="hs11"/>
          <w:rFonts w:ascii="Trebuchet MS" w:eastAsia="Times New Roman" w:hAnsi="Trebuchet MS" w:cs="Arial"/>
          <w:lang w:val="en-US"/>
        </w:rPr>
        <w:t> </w:t>
      </w:r>
    </w:p>
    <w:p w:rsidR="00D81A0D" w:rsidRDefault="00D81A0D" w:rsidP="00D81A0D">
      <w:pPr>
        <w:rPr>
          <w:rFonts w:ascii="Arial" w:eastAsia="Times New Roman" w:hAnsi="Arial" w:cs="Arial"/>
          <w:sz w:val="20"/>
          <w:szCs w:val="20"/>
        </w:rPr>
      </w:pPr>
      <w:r>
        <w:rPr>
          <w:rStyle w:val="hs11"/>
          <w:rFonts w:ascii="Trebuchet MS" w:eastAsia="Times New Roman" w:hAnsi="Trebuchet MS" w:cs="Arial"/>
        </w:rPr>
        <w:t>Kinepolis Investor Relations</w:t>
      </w:r>
    </w:p>
    <w:p w:rsidR="00D81A0D" w:rsidRDefault="00D81A0D" w:rsidP="00D81A0D">
      <w:pPr>
        <w:rPr>
          <w:rFonts w:ascii="Arial" w:eastAsia="Times New Roman" w:hAnsi="Arial" w:cs="Arial"/>
          <w:sz w:val="20"/>
          <w:szCs w:val="20"/>
        </w:rPr>
      </w:pPr>
      <w:hyperlink r:id="rId13" w:history="1">
        <w:r>
          <w:rPr>
            <w:rStyle w:val="Hyperlink"/>
            <w:rFonts w:ascii="Trebuchet MS" w:eastAsia="Times New Roman" w:hAnsi="Trebuchet MS" w:cs="Arial"/>
            <w:sz w:val="20"/>
            <w:szCs w:val="20"/>
          </w:rPr>
          <w:t>investor-relations@kinepolis.com</w:t>
        </w:r>
      </w:hyperlink>
    </w:p>
    <w:p w:rsidR="00D81A0D" w:rsidRDefault="00D81A0D" w:rsidP="00D81A0D">
      <w:pPr>
        <w:rPr>
          <w:rFonts w:ascii="Arial" w:eastAsia="Times New Roman" w:hAnsi="Arial" w:cs="Arial"/>
          <w:sz w:val="20"/>
          <w:szCs w:val="20"/>
        </w:rPr>
      </w:pPr>
    </w:p>
    <w:p w:rsidR="00D81A0D" w:rsidRDefault="00D81A0D" w:rsidP="00D81A0D">
      <w:pPr>
        <w:rPr>
          <w:rFonts w:ascii="Arial" w:eastAsia="Times New Roman" w:hAnsi="Arial" w:cs="Arial"/>
          <w:sz w:val="20"/>
          <w:szCs w:val="20"/>
        </w:rPr>
      </w:pPr>
    </w:p>
    <w:p w:rsidR="00D81A0D" w:rsidRDefault="00D81A0D" w:rsidP="00D81A0D">
      <w:pPr>
        <w:rPr>
          <w:rFonts w:eastAsia="Times New Roman"/>
        </w:rPr>
      </w:pPr>
    </w:p>
    <w:p w:rsidR="00D81A0D" w:rsidRDefault="00D81A0D" w:rsidP="00D81A0D">
      <w:pPr>
        <w:rPr>
          <w:rFonts w:eastAsia="Times New Roman"/>
        </w:rPr>
      </w:pPr>
    </w:p>
    <w:p w:rsidR="00D81A0D" w:rsidRDefault="00D81A0D" w:rsidP="00D81A0D">
      <w:pPr>
        <w:rPr>
          <w:rFonts w:eastAsia="Times New Roman"/>
        </w:rPr>
      </w:pPr>
      <w:r>
        <w:rPr>
          <w:rFonts w:eastAsia="Times New Roman"/>
        </w:rPr>
        <w:br/>
      </w:r>
      <w:r>
        <w:rPr>
          <w:rFonts w:eastAsia="Times New Roman"/>
          <w:noProof/>
          <w:color w:val="0000FF"/>
        </w:rPr>
        <w:drawing>
          <wp:inline distT="0" distB="0" distL="0" distR="0">
            <wp:extent cx="190500" cy="180975"/>
            <wp:effectExtent l="0" t="0" r="0" b="9525"/>
            <wp:docPr id="4" name="Afbeelding 4" descr="http://www.huginonline.com/img/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ginonline.com/img/faceboo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Fonts w:eastAsia="Times New Roman"/>
          <w:noProof/>
          <w:color w:val="0000FF"/>
        </w:rPr>
        <w:drawing>
          <wp:inline distT="0" distB="0" distL="0" distR="0">
            <wp:extent cx="152400" cy="152400"/>
            <wp:effectExtent l="0" t="0" r="0" b="0"/>
            <wp:docPr id="3" name="Afbeelding 3" descr="http://www.huginonline.com/img/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uginonline.com/img/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noProof/>
          <w:color w:val="0000FF"/>
        </w:rPr>
        <w:drawing>
          <wp:inline distT="0" distB="0" distL="0" distR="0">
            <wp:extent cx="209550" cy="190500"/>
            <wp:effectExtent l="0" t="0" r="0" b="0"/>
            <wp:docPr id="2" name="Afbeelding 2" descr="http://www.huginonline.com/img/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uginonline.com/img/linkedi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Pr>
          <w:rFonts w:eastAsia="Times New Roman"/>
          <w:noProof/>
          <w:color w:val="0000FF"/>
        </w:rPr>
        <w:drawing>
          <wp:inline distT="0" distB="0" distL="0" distR="0">
            <wp:extent cx="152400" cy="180975"/>
            <wp:effectExtent l="0" t="0" r="0" b="9525"/>
            <wp:docPr id="1" name="Afbeelding 1" descr="http://www.huginonline.com/img/google_plu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uginonline.com/img/google_plu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p w:rsidR="00D81A0D" w:rsidRDefault="00D81A0D" w:rsidP="00D81A0D">
      <w:pPr>
        <w:jc w:val="center"/>
        <w:rPr>
          <w:rFonts w:eastAsia="Times New Roman"/>
        </w:rPr>
      </w:pPr>
      <w:r>
        <w:rPr>
          <w:rFonts w:eastAsia="Times New Roman"/>
        </w:rPr>
        <w:pict>
          <v:rect id="_x0000_i1025" style="width:453.6pt;height:.75pt" o:hralign="center" o:hrstd="t" o:hr="t" fillcolor="#a0a0a0" stroked="f"/>
        </w:pict>
      </w:r>
    </w:p>
    <w:p w:rsidR="00D81A0D" w:rsidRDefault="00D81A0D" w:rsidP="00D81A0D">
      <w:pPr>
        <w:spacing w:before="100" w:beforeAutospacing="1" w:after="100" w:afterAutospacing="1"/>
      </w:pPr>
      <w:r>
        <w:rPr>
          <w:rFonts w:ascii="Verdana" w:eastAsia="Times New Roman" w:hAnsi="Verdana"/>
          <w:color w:val="000000"/>
          <w:sz w:val="15"/>
          <w:szCs w:val="15"/>
        </w:rPr>
        <w:t>Kinepolis Press Office</w:t>
      </w:r>
      <w:r>
        <w:rPr>
          <w:rFonts w:ascii="Verdana" w:eastAsia="Times New Roman" w:hAnsi="Verdana"/>
          <w:color w:val="000000"/>
          <w:sz w:val="15"/>
          <w:szCs w:val="15"/>
        </w:rPr>
        <w:br/>
        <w:t xml:space="preserve">Corporate Communication </w:t>
      </w:r>
      <w:r>
        <w:rPr>
          <w:rFonts w:ascii="Verdana" w:eastAsia="Times New Roman" w:hAnsi="Verdana"/>
          <w:color w:val="000000"/>
          <w:sz w:val="15"/>
          <w:szCs w:val="15"/>
        </w:rPr>
        <w:br/>
        <w:t xml:space="preserve">Kinepolis Group </w:t>
      </w:r>
      <w:r>
        <w:rPr>
          <w:rFonts w:ascii="Verdana" w:eastAsia="Times New Roman" w:hAnsi="Verdana"/>
          <w:color w:val="000000"/>
          <w:sz w:val="15"/>
          <w:szCs w:val="15"/>
        </w:rPr>
        <w:br/>
      </w:r>
      <w:r>
        <w:rPr>
          <w:rFonts w:ascii="Verdana" w:eastAsia="Times New Roman" w:hAnsi="Verdana"/>
          <w:color w:val="000000"/>
          <w:sz w:val="15"/>
          <w:szCs w:val="15"/>
        </w:rPr>
        <w:br/>
      </w:r>
      <w:r>
        <w:rPr>
          <w:rFonts w:ascii="Verdana" w:eastAsia="Times New Roman" w:hAnsi="Verdana"/>
          <w:color w:val="000000"/>
          <w:sz w:val="15"/>
          <w:szCs w:val="15"/>
        </w:rPr>
        <w:br/>
      </w:r>
      <w:r>
        <w:rPr>
          <w:rFonts w:ascii="Verdana" w:eastAsia="Times New Roman" w:hAnsi="Verdana"/>
          <w:color w:val="000000"/>
          <w:sz w:val="15"/>
          <w:szCs w:val="15"/>
        </w:rPr>
        <w:lastRenderedPageBreak/>
        <w:br/>
      </w:r>
    </w:p>
    <w:p w:rsidR="00D81A0D" w:rsidRDefault="00D81A0D" w:rsidP="00D81A0D">
      <w:pPr>
        <w:jc w:val="center"/>
        <w:rPr>
          <w:rFonts w:ascii="Arial" w:eastAsia="Times New Roman" w:hAnsi="Arial" w:cs="Arial"/>
          <w:sz w:val="20"/>
          <w:szCs w:val="20"/>
        </w:rPr>
      </w:pPr>
      <w:r>
        <w:rPr>
          <w:rFonts w:ascii="Arial" w:eastAsia="Times New Roman" w:hAnsi="Arial" w:cs="Arial"/>
          <w:sz w:val="20"/>
          <w:szCs w:val="20"/>
        </w:rPr>
        <w:pict>
          <v:rect id="_x0000_i1026" style="width:453.6pt;height:.75pt" o:hralign="center" o:hrstd="t" o:hr="t" fillcolor="#a0a0a0" stroked="f"/>
        </w:pict>
      </w:r>
    </w:p>
    <w:p w:rsidR="00087F62" w:rsidRDefault="00087F62"/>
    <w:sectPr w:rsidR="0008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0D"/>
    <w:rsid w:val="00087F62"/>
    <w:rsid w:val="00D81A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A0D"/>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81A0D"/>
    <w:rPr>
      <w:color w:val="0000FF"/>
      <w:u w:val="single"/>
    </w:rPr>
  </w:style>
  <w:style w:type="character" w:customStyle="1" w:styleId="hs11">
    <w:name w:val="hs11"/>
    <w:basedOn w:val="Standaardalinea-lettertype"/>
    <w:rsid w:val="00D81A0D"/>
    <w:rPr>
      <w:sz w:val="20"/>
      <w:szCs w:val="20"/>
    </w:rPr>
  </w:style>
  <w:style w:type="character" w:styleId="Nadruk">
    <w:name w:val="Emphasis"/>
    <w:basedOn w:val="Standaardalinea-lettertype"/>
    <w:uiPriority w:val="20"/>
    <w:qFormat/>
    <w:rsid w:val="00D81A0D"/>
    <w:rPr>
      <w:i/>
      <w:iCs/>
    </w:rPr>
  </w:style>
  <w:style w:type="character" w:styleId="Zwaar">
    <w:name w:val="Strong"/>
    <w:basedOn w:val="Standaardalinea-lettertype"/>
    <w:uiPriority w:val="22"/>
    <w:qFormat/>
    <w:rsid w:val="00D81A0D"/>
    <w:rPr>
      <w:b/>
      <w:bCs/>
    </w:rPr>
  </w:style>
  <w:style w:type="paragraph" w:styleId="Ballontekst">
    <w:name w:val="Balloon Text"/>
    <w:basedOn w:val="Standaard"/>
    <w:link w:val="BallontekstChar"/>
    <w:uiPriority w:val="99"/>
    <w:semiHidden/>
    <w:unhideWhenUsed/>
    <w:rsid w:val="00D81A0D"/>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A0D"/>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A0D"/>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81A0D"/>
    <w:rPr>
      <w:color w:val="0000FF"/>
      <w:u w:val="single"/>
    </w:rPr>
  </w:style>
  <w:style w:type="character" w:customStyle="1" w:styleId="hs11">
    <w:name w:val="hs11"/>
    <w:basedOn w:val="Standaardalinea-lettertype"/>
    <w:rsid w:val="00D81A0D"/>
    <w:rPr>
      <w:sz w:val="20"/>
      <w:szCs w:val="20"/>
    </w:rPr>
  </w:style>
  <w:style w:type="character" w:styleId="Nadruk">
    <w:name w:val="Emphasis"/>
    <w:basedOn w:val="Standaardalinea-lettertype"/>
    <w:uiPriority w:val="20"/>
    <w:qFormat/>
    <w:rsid w:val="00D81A0D"/>
    <w:rPr>
      <w:i/>
      <w:iCs/>
    </w:rPr>
  </w:style>
  <w:style w:type="character" w:styleId="Zwaar">
    <w:name w:val="Strong"/>
    <w:basedOn w:val="Standaardalinea-lettertype"/>
    <w:uiPriority w:val="22"/>
    <w:qFormat/>
    <w:rsid w:val="00D81A0D"/>
    <w:rPr>
      <w:b/>
      <w:bCs/>
    </w:rPr>
  </w:style>
  <w:style w:type="paragraph" w:styleId="Ballontekst">
    <w:name w:val="Balloon Text"/>
    <w:basedOn w:val="Standaard"/>
    <w:link w:val="BallontekstChar"/>
    <w:uiPriority w:val="99"/>
    <w:semiHidden/>
    <w:unhideWhenUsed/>
    <w:rsid w:val="00D81A0D"/>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A0D"/>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orate.kinepolis.com/nl/investor-relations/jaarverslagen" TargetMode="External"/><Relationship Id="rId13" Type="http://schemas.openxmlformats.org/officeDocument/2006/relationships/hyperlink" Target="mailto:investor-relations@kinepolis.com" TargetMode="External"/><Relationship Id="rId18" Type="http://schemas.openxmlformats.org/officeDocument/2006/relationships/hyperlink" Target="http://www.linkedin.com/shareArticle?mini=true&amp;url=http%3A%2F%2Fwww.thomsonreutersone.com%2FreleaseDetails.faces?rId=1692412&amp;title=Kinepolis%20Group:%20Jaarverslag%202012,%20Green%20Star%20en%20Corporate%20Brochure&amp;summary"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jpeg"/><Relationship Id="rId12" Type="http://schemas.openxmlformats.org/officeDocument/2006/relationships/hyperlink" Target="mailto:pressoffice@kinepolis.com" TargetMode="External"/><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hyperlink" Target="http://twitter.com/share?url=http%3A%2F%2Fwww.thomsonreutersone.com%2FreleaseDetails.faces?rId=1692412&amp;text=Kinepolis%20Group:%20Jaarverslag%202012,%20Green%20Star%20en%20Corporate%20Brochure" TargetMode="External"/><Relationship Id="rId20" Type="http://schemas.openxmlformats.org/officeDocument/2006/relationships/hyperlink" Target="https://plus.google.com/share?url=http%3A%2F%2Fwww.thomsonreutersone.com%2FreleaseDetails.faces?rId=169241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orporate.kinepolis.com/nl/investor-relations/algemene-vergadering" TargetMode="External"/><Relationship Id="rId5" Type="http://schemas.openxmlformats.org/officeDocument/2006/relationships/hyperlink" Target="http://investors.kinepolis.com/" TargetMode="Externa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corporate.kinepolis.com/sites/default/files/uploads/documents/KINEP_CORP_BRO_NL.pdf"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corporate.kinepolis.com/sites/default/files/flippingbooks/2012/greenstar_nl/greenstar.pdf" TargetMode="External"/><Relationship Id="rId14" Type="http://schemas.openxmlformats.org/officeDocument/2006/relationships/hyperlink" Target="http://www.facebook.com/share.php?u=http%3A%2F%2Fwww.thomsonreutersone.com%2FreleaseDetails.faces?rId=1692412"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1707</Characters>
  <Application>Microsoft Office Word</Application>
  <DocSecurity>0</DocSecurity>
  <Lines>14</Lines>
  <Paragraphs>4</Paragraphs>
  <ScaleCrop>false</ScaleCrop>
  <Company>HP</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Gezels    (VFB)</dc:creator>
  <cp:lastModifiedBy>Luc Gezels    (VFB)</cp:lastModifiedBy>
  <cp:revision>1</cp:revision>
  <dcterms:created xsi:type="dcterms:W3CDTF">2013-04-12T06:27:00Z</dcterms:created>
  <dcterms:modified xsi:type="dcterms:W3CDTF">2013-04-12T06:28:00Z</dcterms:modified>
</cp:coreProperties>
</file>