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5"/>
        <w:gridCol w:w="1975"/>
      </w:tblGrid>
      <w:tr w:rsidR="00515228" w:rsidRPr="00515228" w:rsidTr="00515228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515228" w:rsidRPr="00515228" w:rsidRDefault="00515228" w:rsidP="00515228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fldChar w:fldCharType="begin"/>
            </w:r>
            <w:r w:rsidRPr="00515228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instrText xml:space="preserve"> HYPERLINK "https://tools.eurolandir.com/" \l "twitter" \t "_blank" </w:instrText>
            </w:r>
            <w:r w:rsidRPr="00515228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fldChar w:fldCharType="separate"/>
            </w:r>
            <w:proofErr w:type="spellStart"/>
            <w:r w:rsidRPr="00515228">
              <w:rPr>
                <w:rFonts w:ascii="Times New Roman" w:eastAsia="Times New Roman" w:hAnsi="Times New Roman" w:cs="Times New Roman"/>
                <w:color w:val="282E73"/>
                <w:sz w:val="24"/>
                <w:szCs w:val="24"/>
                <w:lang w:eastAsia="nl-BE"/>
              </w:rPr>
              <w:t>Twitter</w:t>
            </w:r>
            <w:r w:rsidRPr="00515228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fldChar w:fldCharType="end"/>
            </w:r>
            <w:hyperlink r:id="rId4" w:anchor="whatsapp" w:tgtFrame="_blank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WhatsApp</w:t>
              </w:r>
            </w:hyperlink>
            <w:hyperlink r:id="rId5" w:anchor="email" w:tgtFrame="_blank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Email</w:t>
              </w:r>
            </w:hyperlink>
            <w:hyperlink r:id="rId6" w:anchor="linkedin" w:tgtFrame="_blank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LinkedIn</w:t>
              </w:r>
            </w:hyperlink>
            <w:hyperlink r:id="rId7" w:anchor="facebook" w:tgtFrame="_blank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Facebook</w:t>
              </w:r>
            </w:hyperlink>
            <w:hyperlink r:id="rId8" w:anchor="wechat" w:tgtFrame="_blank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WeChat</w:t>
              </w:r>
            </w:hyperlink>
            <w:hyperlink r:id="rId9" w:anchor="print" w:tgtFrame="_blank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Print</w:t>
              </w:r>
            </w:hyperlink>
            <w:hyperlink r:id="rId10" w:anchor="url=https%3A%2F%2Ftools.eurolandir.com%2Ftools%2FPressreleases%2FGetPressRelease%2F%3FID%3D4525340%26lang%3Den-GB%26companycode%3Duk-ritp%26v%3Dredesign2021&amp;title=Notification%20of%20Holding%20in%20Company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Deel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1" w:history="1">
              <w:r w:rsidRPr="00515228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Close</w:t>
              </w:r>
            </w:hyperlink>
          </w:p>
        </w:tc>
      </w:tr>
    </w:tbl>
    <w:p w:rsidR="00515228" w:rsidRPr="00515228" w:rsidRDefault="00515228" w:rsidP="00515228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515228">
        <w:rPr>
          <w:rFonts w:ascii="Calibri" w:eastAsia="Times New Roman" w:hAnsi="Calibri" w:cs="Calibri"/>
          <w:noProof/>
          <w:color w:val="333333"/>
          <w:sz w:val="24"/>
          <w:szCs w:val="24"/>
          <w:lang w:eastAsia="nl-BE"/>
        </w:rPr>
        <mc:AlternateContent>
          <mc:Choice Requires="wps">
            <w:drawing>
              <wp:inline distT="0" distB="0" distL="0" distR="0">
                <wp:extent cx="7620" cy="7620"/>
                <wp:effectExtent l="0" t="0" r="0" b="0"/>
                <wp:docPr id="2" name="Rechthoek 2" descr="https://tracker.live.rns-distribution.com/track.live-rns/5192210_d9353a075fe0b610698e373da828b7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9D890" id="Rechthoek 2" o:spid="_x0000_s1026" alt="https://tracker.live.rns-distribution.com/track.live-rns/5192210_d9353a075fe0b610698e373da828b7e4.png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515228" w:rsidRPr="00515228" w:rsidRDefault="00515228" w:rsidP="00515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RNS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Number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: 3402P</w:t>
      </w:r>
    </w:p>
    <w:p w:rsidR="00515228" w:rsidRPr="00515228" w:rsidRDefault="00515228" w:rsidP="00515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Animalcare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Group PLC</w:t>
      </w:r>
    </w:p>
    <w:p w:rsidR="00515228" w:rsidRPr="00515228" w:rsidRDefault="00515228" w:rsidP="00515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21 May 2024</w:t>
      </w:r>
    </w:p>
    <w:p w:rsidR="00515228" w:rsidRPr="00515228" w:rsidRDefault="00515228" w:rsidP="00515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</w:p>
    <w:p w:rsidR="00515228" w:rsidRPr="00515228" w:rsidRDefault="00515228" w:rsidP="00515228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TR-1: Standard form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for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notification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of major holdings</w:t>
      </w:r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1.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Issuer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Details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ISIN</w:t>
      </w:r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GB0032350695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Issuer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Name</w:t>
      </w:r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sz w:val="20"/>
          <w:szCs w:val="20"/>
          <w:lang w:eastAsia="nl-BE"/>
        </w:rPr>
        <w:t>ANIMALCARE GROUP PLC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UK or Non-UK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Issuer</w:t>
      </w:r>
      <w:proofErr w:type="spellEnd"/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UK</w:t>
      </w:r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2.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Reason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for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Notification</w:t>
      </w:r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An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acquisition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or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disposal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of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voting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rights</w:t>
      </w:r>
      <w:proofErr w:type="spellEnd"/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3. Details of person subject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to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notification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obligation</w:t>
      </w:r>
      <w:proofErr w:type="spellEnd"/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Name</w:t>
      </w:r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Harwood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Capital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LLP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City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registered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office (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if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applicable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)</w:t>
      </w:r>
    </w:p>
    <w:p w:rsidR="00515228" w:rsidRPr="00515228" w:rsidRDefault="00515228" w:rsidP="00515228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Country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registered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office (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if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applicable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)</w:t>
      </w:r>
    </w:p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 </w:t>
      </w:r>
    </w:p>
    <w:tbl>
      <w:tblPr>
        <w:tblW w:w="7552" w:type="dxa"/>
        <w:tblInd w:w="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1745"/>
        <w:gridCol w:w="1692"/>
      </w:tblGrid>
      <w:tr w:rsidR="00515228" w:rsidRPr="00515228" w:rsidTr="00515228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Name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City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registered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office</w:t>
            </w:r>
          </w:p>
        </w:tc>
        <w:tc>
          <w:tcPr>
            <w:tcW w:w="1587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Country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registered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office</w:t>
            </w:r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Harwood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Capital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Management (Gibraltar)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Gibraltar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Gibraltar</w:t>
            </w:r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 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Harwood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Capital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LLP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  London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United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Kingdom</w:t>
            </w:r>
            <w:proofErr w:type="spellEnd"/>
          </w:p>
        </w:tc>
      </w:tr>
    </w:tbl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</w:p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4. Details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shareholder</w:t>
      </w:r>
      <w:proofErr w:type="spellEnd"/>
    </w:p>
    <w:tbl>
      <w:tblPr>
        <w:tblW w:w="7672" w:type="dxa"/>
        <w:tblInd w:w="-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1857"/>
        <w:gridCol w:w="2092"/>
      </w:tblGrid>
      <w:tr w:rsidR="00515228" w:rsidRPr="00515228" w:rsidTr="00515228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Name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City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registered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office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Country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registered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office</w:t>
            </w:r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Harwood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Capital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LLP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London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United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Kingdom</w:t>
            </w:r>
            <w:proofErr w:type="spellEnd"/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lastRenderedPageBreak/>
              <w:t xml:space="preserve">Oryx International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Growth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Fund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Guernsey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Guernsey</w:t>
            </w:r>
          </w:p>
        </w:tc>
      </w:tr>
    </w:tbl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5. Date on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which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threshold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was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crossed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or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reached</w:t>
      </w:r>
      <w:proofErr w:type="spellEnd"/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17-May-2024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6. Date on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which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Issuer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notified</w:t>
      </w:r>
      <w:proofErr w:type="spellEnd"/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21-May-2024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</w:p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7. Total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positions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of person(s) subject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to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notification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obligation</w:t>
      </w:r>
      <w:proofErr w:type="spellEnd"/>
    </w:p>
    <w:tbl>
      <w:tblPr>
        <w:tblW w:w="812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552"/>
        <w:gridCol w:w="1701"/>
        <w:gridCol w:w="1401"/>
        <w:gridCol w:w="1424"/>
      </w:tblGrid>
      <w:tr w:rsidR="00515228" w:rsidRPr="00515228" w:rsidTr="00515228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nl-BE"/>
              </w:rPr>
            </w:pP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attached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to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shares (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total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 8.A)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through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financial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instruments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(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total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 8.B 1 + 8.B 2)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Total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both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in % (8.A + 8.B)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Total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number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held in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issuer</w:t>
            </w:r>
            <w:proofErr w:type="spellEnd"/>
          </w:p>
        </w:tc>
      </w:tr>
      <w:tr w:rsidR="00515228" w:rsidRPr="00515228" w:rsidTr="00515228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Resulting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situation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on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the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date on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which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threshold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was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crossed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or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reached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8.210200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0.000000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8.210200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4935000</w:t>
            </w:r>
          </w:p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 </w:t>
            </w:r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Position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of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previous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notification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(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if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applicable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7.069960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0.000000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7.069960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4249608</w:t>
            </w:r>
          </w:p>
        </w:tc>
      </w:tr>
    </w:tbl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8.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Notified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details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resulting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situation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on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date on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which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threshold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was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crossed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or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reached</w:t>
      </w:r>
      <w:proofErr w:type="spellEnd"/>
    </w:p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8A.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Voting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rights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attached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to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shares</w:t>
      </w:r>
    </w:p>
    <w:tbl>
      <w:tblPr>
        <w:tblW w:w="8123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710"/>
        <w:gridCol w:w="1610"/>
        <w:gridCol w:w="1663"/>
        <w:gridCol w:w="1501"/>
      </w:tblGrid>
      <w:tr w:rsidR="00515228" w:rsidRPr="00515228" w:rsidTr="00515228">
        <w:tc>
          <w:tcPr>
            <w:tcW w:w="159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Class/Type of shares ISIN code(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if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possible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Number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 direct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(DTR5.1)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Number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 indirect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(DTR5.2.1)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direct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(DTR5.1)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indirect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(DTR5.2.1)</w:t>
            </w:r>
          </w:p>
        </w:tc>
      </w:tr>
      <w:tr w:rsidR="00515228" w:rsidRPr="00515228" w:rsidTr="00515228">
        <w:tc>
          <w:tcPr>
            <w:tcW w:w="160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GB0032350695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4875000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8.110400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br/>
            </w:r>
          </w:p>
        </w:tc>
      </w:tr>
      <w:tr w:rsidR="00515228" w:rsidRPr="00515228" w:rsidTr="00515228">
        <w:tc>
          <w:tcPr>
            <w:tcW w:w="160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sz w:val="20"/>
                <w:szCs w:val="20"/>
                <w:lang w:eastAsia="nl-BE"/>
              </w:rPr>
              <w:t>GB0032350695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0.099800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br/>
            </w:r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sz w:val="15"/>
                <w:szCs w:val="15"/>
                <w:lang w:eastAsia="nl-BE"/>
              </w:rPr>
              <w:t>Sub Total 8.A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4935000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8.210200%</w:t>
            </w:r>
          </w:p>
        </w:tc>
      </w:tr>
    </w:tbl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8B1. Financial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Instruments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according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to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(DTR5.3.1R.(1) (a))</w:t>
      </w:r>
    </w:p>
    <w:tbl>
      <w:tblPr>
        <w:tblW w:w="8123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992"/>
        <w:gridCol w:w="1889"/>
        <w:gridCol w:w="2888"/>
        <w:gridCol w:w="774"/>
      </w:tblGrid>
      <w:tr w:rsidR="00515228" w:rsidRPr="00515228" w:rsidTr="00515228">
        <w:tc>
          <w:tcPr>
            <w:tcW w:w="156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Type of financial instrument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Expiration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date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Exercise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/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conversion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period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Number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that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may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be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acquired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if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instrument is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exercised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/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converted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</w:p>
        </w:tc>
      </w:tr>
      <w:tr w:rsidR="00515228" w:rsidRPr="00515228" w:rsidTr="00515228">
        <w:tc>
          <w:tcPr>
            <w:tcW w:w="158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sz w:val="15"/>
                <w:szCs w:val="15"/>
                <w:lang w:eastAsia="nl-BE"/>
              </w:rPr>
              <w:t>Sub Total 8.B1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sz w:val="15"/>
                <w:szCs w:val="15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</w:tr>
    </w:tbl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 </w:t>
      </w:r>
    </w:p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8B2. Financial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Instruments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with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similar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economic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effect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according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to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(DTR5.3.1R.(1)</w:t>
      </w:r>
      <w:r w:rsidRPr="0051522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nl-BE"/>
        </w:rPr>
        <w:t> (b))</w:t>
      </w:r>
    </w:p>
    <w:tbl>
      <w:tblPr>
        <w:tblW w:w="8123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088"/>
        <w:gridCol w:w="2023"/>
        <w:gridCol w:w="1550"/>
        <w:gridCol w:w="1286"/>
        <w:gridCol w:w="1002"/>
      </w:tblGrid>
      <w:tr w:rsidR="00515228" w:rsidRPr="00515228" w:rsidTr="00515228">
        <w:tc>
          <w:tcPr>
            <w:tcW w:w="11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lastRenderedPageBreak/>
              <w:t>Type of financial instrument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Expiration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date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Exercise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/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conversion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period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Physical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or cash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settlement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Number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</w:p>
        </w:tc>
      </w:tr>
      <w:tr w:rsidR="00515228" w:rsidRPr="00515228" w:rsidTr="00515228">
        <w:tc>
          <w:tcPr>
            <w:tcW w:w="1175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</w:tr>
      <w:tr w:rsidR="00515228" w:rsidRPr="00515228" w:rsidTr="00515228"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sz w:val="15"/>
                <w:szCs w:val="15"/>
                <w:lang w:eastAsia="nl-BE"/>
              </w:rPr>
              <w:t>Sub Total 8.B2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sz w:val="15"/>
                <w:szCs w:val="15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br/>
            </w:r>
          </w:p>
        </w:tc>
      </w:tr>
    </w:tbl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9. Information in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relation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to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person subject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to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notification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obligation</w:t>
      </w:r>
      <w:proofErr w:type="spellEnd"/>
    </w:p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2. Full chain of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controlled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undertakings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through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which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voting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rights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and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/or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financial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instruments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are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effectively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held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starting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with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ultimate controlling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natural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person or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legal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entities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(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please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add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additional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rows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 xml:space="preserve"> as </w:t>
      </w:r>
      <w:proofErr w:type="spellStart"/>
      <w:r w:rsidRPr="00515228">
        <w:rPr>
          <w:rFonts w:ascii="Verdana" w:eastAsia="Times New Roman" w:hAnsi="Verdana" w:cs="Times New Roman"/>
          <w:color w:val="333333"/>
          <w:lang w:eastAsia="nl-BE"/>
        </w:rPr>
        <w:t>necessary</w:t>
      </w:r>
      <w:proofErr w:type="spellEnd"/>
      <w:r w:rsidRPr="00515228">
        <w:rPr>
          <w:rFonts w:ascii="Verdana" w:eastAsia="Times New Roman" w:hAnsi="Verdana" w:cs="Times New Roman"/>
          <w:color w:val="333333"/>
          <w:lang w:eastAsia="nl-BE"/>
        </w:rPr>
        <w:t>)</w:t>
      </w:r>
    </w:p>
    <w:tbl>
      <w:tblPr>
        <w:tblW w:w="8123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812"/>
        <w:gridCol w:w="1535"/>
        <w:gridCol w:w="1462"/>
        <w:gridCol w:w="1734"/>
      </w:tblGrid>
      <w:tr w:rsidR="00515228" w:rsidRPr="00515228" w:rsidTr="00515228">
        <w:tc>
          <w:tcPr>
            <w:tcW w:w="156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Ultimate controlling person</w:t>
            </w:r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Name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controlled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undertaking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if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it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equals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or is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higher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than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notifiable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threshold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%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voting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rights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through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financial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instruments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if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it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equals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or is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higher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than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notifiable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threshold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Total of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both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if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it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equals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or is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higher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than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notifiable</w:t>
            </w:r>
            <w:proofErr w:type="spellEnd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nl-BE"/>
              </w:rPr>
              <w:t>threshold</w:t>
            </w:r>
            <w:proofErr w:type="spellEnd"/>
          </w:p>
        </w:tc>
      </w:tr>
      <w:tr w:rsidR="00515228" w:rsidRPr="00515228" w:rsidTr="00515228">
        <w:tc>
          <w:tcPr>
            <w:tcW w:w="158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Christopher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Harwood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Bernard Mills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Harwood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Capital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LLP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0.099800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0.099800%</w:t>
            </w:r>
          </w:p>
        </w:tc>
      </w:tr>
      <w:tr w:rsidR="00515228" w:rsidRPr="00515228" w:rsidTr="00515228">
        <w:tc>
          <w:tcPr>
            <w:tcW w:w="158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Christopher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Harwood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Bernard Mills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Oryx International </w:t>
            </w:r>
            <w:proofErr w:type="spellStart"/>
            <w:r w:rsidRPr="00515228">
              <w:rPr>
                <w:rFonts w:ascii="Verdana" w:eastAsia="Times New Roman" w:hAnsi="Verdana" w:cs="Times New Roman"/>
                <w:lang w:eastAsia="nl-BE"/>
              </w:rPr>
              <w:t>Growth</w:t>
            </w:r>
            <w:proofErr w:type="spellEnd"/>
            <w:r w:rsidRPr="00515228">
              <w:rPr>
                <w:rFonts w:ascii="Verdana" w:eastAsia="Times New Roman" w:hAnsi="Verdana" w:cs="Times New Roman"/>
                <w:lang w:eastAsia="nl-BE"/>
              </w:rPr>
              <w:t xml:space="preserve"> Fund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8.110400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228" w:rsidRPr="00515228" w:rsidRDefault="00515228" w:rsidP="00515228">
            <w:pPr>
              <w:spacing w:before="75" w:after="150" w:line="240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 w:rsidRPr="00515228">
              <w:rPr>
                <w:rFonts w:ascii="Verdana" w:eastAsia="Times New Roman" w:hAnsi="Verdana" w:cs="Times New Roman"/>
                <w:lang w:eastAsia="nl-BE"/>
              </w:rPr>
              <w:t>8.110400%</w:t>
            </w:r>
          </w:p>
        </w:tc>
      </w:tr>
    </w:tbl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10. In case of proxy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voting</w:t>
      </w:r>
      <w:proofErr w:type="spellEnd"/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Name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proxy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holder</w:t>
      </w:r>
      <w:proofErr w:type="spellEnd"/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The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number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and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%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voting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rights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held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The date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until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which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the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voting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rights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will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be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held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11.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Additional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Information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12. Date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Completion</w:t>
      </w:r>
      <w:proofErr w:type="spellEnd"/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21/05/2024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 </w:t>
      </w:r>
    </w:p>
    <w:p w:rsidR="00515228" w:rsidRPr="00515228" w:rsidRDefault="00515228" w:rsidP="00515228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13.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Place</w:t>
      </w:r>
      <w:proofErr w:type="spellEnd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 xml:space="preserve"> Of </w:t>
      </w:r>
      <w:proofErr w:type="spellStart"/>
      <w:r w:rsidRPr="00515228">
        <w:rPr>
          <w:rFonts w:ascii="Verdana" w:eastAsia="Times New Roman" w:hAnsi="Verdana" w:cs="Times New Roman"/>
          <w:b/>
          <w:bCs/>
          <w:color w:val="333333"/>
          <w:lang w:eastAsia="nl-BE"/>
        </w:rPr>
        <w:t>Completion</w:t>
      </w:r>
      <w:proofErr w:type="spellEnd"/>
    </w:p>
    <w:p w:rsidR="00515228" w:rsidRPr="00515228" w:rsidRDefault="00515228" w:rsidP="00515228">
      <w:pPr>
        <w:spacing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515228">
        <w:rPr>
          <w:rFonts w:ascii="Verdana" w:eastAsia="Times New Roman" w:hAnsi="Verdana" w:cs="Times New Roman"/>
          <w:color w:val="333333"/>
          <w:lang w:eastAsia="nl-BE"/>
        </w:rPr>
        <w:t>London Stock Exchange</w:t>
      </w:r>
    </w:p>
    <w:p w:rsidR="00515228" w:rsidRPr="00515228" w:rsidRDefault="00515228" w:rsidP="00515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This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is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provided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by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RNS,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news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service of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London Stock Exchange. RNS is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approved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by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Financial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Conduct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Authority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act as a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Primary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Provider in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United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Kingdom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.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Terms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conditions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relating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distribution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of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this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may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apply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. For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lastRenderedPageBreak/>
        <w:t>further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information,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please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contact </w:t>
      </w:r>
      <w:hyperlink r:id="rId12" w:history="1">
        <w:r w:rsidRPr="00515228">
          <w:rPr>
            <w:rFonts w:ascii="Arial" w:eastAsia="Times New Roman" w:hAnsi="Arial" w:cs="Arial"/>
            <w:color w:val="282E73"/>
            <w:sz w:val="20"/>
            <w:szCs w:val="20"/>
            <w:lang w:eastAsia="nl-BE"/>
          </w:rPr>
          <w:t>rns@lseg.com</w:t>
        </w:r>
      </w:hyperlink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 or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visit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  <w:hyperlink r:id="rId13" w:history="1">
        <w:r w:rsidRPr="00515228">
          <w:rPr>
            <w:rFonts w:ascii="Arial" w:eastAsia="Times New Roman" w:hAnsi="Arial" w:cs="Arial"/>
            <w:color w:val="282E73"/>
            <w:sz w:val="20"/>
            <w:szCs w:val="20"/>
            <w:lang w:eastAsia="nl-BE"/>
          </w:rPr>
          <w:t>www.rns.com</w:t>
        </w:r>
      </w:hyperlink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.</w:t>
      </w:r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br/>
      </w:r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br/>
        <w:t xml:space="preserve">RNS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may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your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IP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address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confirm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compliance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with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terms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conditions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,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analyse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how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you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engage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with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contained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this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communication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,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share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such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analysis on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anonymised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basis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with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others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as part of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our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commercial services. For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further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about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how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RNS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London Stock Exchange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personal data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you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provide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,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please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see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our</w:t>
      </w:r>
      <w:proofErr w:type="spellEnd"/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  <w:hyperlink r:id="rId14" w:history="1">
        <w:r w:rsidRPr="00515228">
          <w:rPr>
            <w:rFonts w:ascii="Arial" w:eastAsia="Times New Roman" w:hAnsi="Arial" w:cs="Arial"/>
            <w:color w:val="282E73"/>
            <w:sz w:val="20"/>
            <w:szCs w:val="20"/>
            <w:lang w:eastAsia="nl-BE"/>
          </w:rPr>
          <w:t>Privacy Policy</w:t>
        </w:r>
      </w:hyperlink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.</w:t>
      </w:r>
    </w:p>
    <w:p w:rsidR="00515228" w:rsidRPr="00515228" w:rsidRDefault="00515228" w:rsidP="00515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</w:p>
    <w:p w:rsidR="00515228" w:rsidRPr="00515228" w:rsidRDefault="00515228" w:rsidP="005152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515228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END</w:t>
      </w:r>
    </w:p>
    <w:p w:rsidR="00515228" w:rsidRPr="00515228" w:rsidRDefault="00515228" w:rsidP="00515228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 </w:t>
      </w:r>
    </w:p>
    <w:p w:rsidR="00515228" w:rsidRPr="00515228" w:rsidRDefault="00515228" w:rsidP="00515228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 </w:t>
      </w:r>
    </w:p>
    <w:p w:rsidR="00515228" w:rsidRPr="00515228" w:rsidRDefault="00515228" w:rsidP="00515228">
      <w:pPr>
        <w:spacing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HOLFLFSSETILFIS</w:t>
      </w:r>
    </w:p>
    <w:p w:rsidR="00515228" w:rsidRPr="00515228" w:rsidRDefault="00515228" w:rsidP="00515228">
      <w:pPr>
        <w:shd w:val="clear" w:color="auto" w:fill="E4E4E4"/>
        <w:spacing w:after="0" w:line="240" w:lineRule="auto"/>
        <w:jc w:val="right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proofErr w:type="spellStart"/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Supplied</w:t>
      </w:r>
      <w:proofErr w:type="spellEnd"/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 xml:space="preserve"> </w:t>
      </w:r>
      <w:proofErr w:type="spellStart"/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by</w:t>
      </w:r>
      <w:proofErr w:type="spellEnd"/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 xml:space="preserve"> © </w:t>
      </w:r>
      <w:r w:rsidRPr="00515228">
        <w:rPr>
          <w:rFonts w:ascii="Calibri" w:eastAsia="Times New Roman" w:hAnsi="Calibri" w:cs="Calibri"/>
          <w:noProof/>
          <w:color w:val="282E73"/>
          <w:sz w:val="24"/>
          <w:szCs w:val="24"/>
          <w:lang w:eastAsia="nl-BE"/>
        </w:rPr>
        <w:drawing>
          <wp:inline distT="0" distB="0" distL="0" distR="0">
            <wp:extent cx="2133600" cy="190500"/>
            <wp:effectExtent l="0" t="0" r="0" b="0"/>
            <wp:docPr id="1" name="Afbeelding 1" descr="Euroland.Com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land.Com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28" w:rsidRPr="00515228" w:rsidRDefault="00515228" w:rsidP="00515228">
      <w:pPr>
        <w:shd w:val="clear" w:color="auto" w:fill="E4E4E4"/>
        <w:spacing w:after="0" w:line="240" w:lineRule="auto"/>
        <w:jc w:val="right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hyperlink r:id="rId17" w:tgtFrame="EurolandTermsAndServices" w:history="1">
        <w:proofErr w:type="spellStart"/>
        <w:r w:rsidRPr="00515228">
          <w:rPr>
            <w:rFonts w:ascii="Calibri" w:eastAsia="Times New Roman" w:hAnsi="Calibri" w:cs="Calibri"/>
            <w:color w:val="282E73"/>
            <w:sz w:val="24"/>
            <w:szCs w:val="24"/>
            <w:lang w:eastAsia="nl-BE"/>
          </w:rPr>
          <w:t>Terms</w:t>
        </w:r>
        <w:proofErr w:type="spellEnd"/>
        <w:r w:rsidRPr="00515228">
          <w:rPr>
            <w:rFonts w:ascii="Calibri" w:eastAsia="Times New Roman" w:hAnsi="Calibri" w:cs="Calibri"/>
            <w:color w:val="282E73"/>
            <w:sz w:val="24"/>
            <w:szCs w:val="24"/>
            <w:lang w:eastAsia="nl-BE"/>
          </w:rPr>
          <w:t xml:space="preserve"> of Service</w:t>
        </w:r>
      </w:hyperlink>
      <w:r w:rsidRPr="00515228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 </w:t>
      </w:r>
      <w:hyperlink r:id="rId18" w:tgtFrame="EurolandTermsAndServices" w:history="1">
        <w:r w:rsidRPr="00515228">
          <w:rPr>
            <w:rFonts w:ascii="Calibri" w:eastAsia="Times New Roman" w:hAnsi="Calibri" w:cs="Calibri"/>
            <w:color w:val="282E73"/>
            <w:sz w:val="24"/>
            <w:szCs w:val="24"/>
            <w:lang w:eastAsia="nl-BE"/>
          </w:rPr>
          <w:t>Cookie Policy</w:t>
        </w:r>
      </w:hyperlink>
    </w:p>
    <w:p w:rsidR="00BF506D" w:rsidRDefault="00BF506D">
      <w:bookmarkStart w:id="0" w:name="_GoBack"/>
      <w:bookmarkEnd w:id="0"/>
    </w:p>
    <w:sectPr w:rsidR="00BF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28"/>
    <w:rsid w:val="00515228"/>
    <w:rsid w:val="00B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CB669-1E13-4FA0-BEAB-997B315D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15228"/>
    <w:rPr>
      <w:color w:val="0000FF"/>
      <w:u w:val="single"/>
    </w:rPr>
  </w:style>
  <w:style w:type="character" w:customStyle="1" w:styleId="a2alabel">
    <w:name w:val="a2a_label"/>
    <w:basedOn w:val="Standaardalinea-lettertype"/>
    <w:rsid w:val="00515228"/>
  </w:style>
  <w:style w:type="paragraph" w:customStyle="1" w:styleId="av">
    <w:name w:val="av"/>
    <w:basedOn w:val="Standaard"/>
    <w:rsid w:val="0051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w">
    <w:name w:val="aw"/>
    <w:basedOn w:val="Standaardalinea-lettertype"/>
    <w:rsid w:val="00515228"/>
  </w:style>
  <w:style w:type="paragraph" w:customStyle="1" w:styleId="a">
    <w:name w:val="a"/>
    <w:basedOn w:val="Standaard"/>
    <w:rsid w:val="0051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u">
    <w:name w:val="au"/>
    <w:basedOn w:val="Standaardalinea-lettertype"/>
    <w:rsid w:val="00515228"/>
  </w:style>
  <w:style w:type="character" w:customStyle="1" w:styleId="ar">
    <w:name w:val="ar"/>
    <w:basedOn w:val="Standaardalinea-lettertype"/>
    <w:rsid w:val="00515228"/>
  </w:style>
  <w:style w:type="character" w:customStyle="1" w:styleId="ap">
    <w:name w:val="ap"/>
    <w:basedOn w:val="Standaardalinea-lettertype"/>
    <w:rsid w:val="00515228"/>
  </w:style>
  <w:style w:type="character" w:customStyle="1" w:styleId="an">
    <w:name w:val="an"/>
    <w:basedOn w:val="Standaardalinea-lettertype"/>
    <w:rsid w:val="00515228"/>
  </w:style>
  <w:style w:type="paragraph" w:customStyle="1" w:styleId="az">
    <w:name w:val="az"/>
    <w:basedOn w:val="Standaard"/>
    <w:rsid w:val="0051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ba">
    <w:name w:val="ba"/>
    <w:basedOn w:val="Standaard"/>
    <w:rsid w:val="0051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d">
    <w:name w:val="ad"/>
    <w:basedOn w:val="Standaardalinea-lettertype"/>
    <w:rsid w:val="00515228"/>
  </w:style>
  <w:style w:type="paragraph" w:customStyle="1" w:styleId="bf">
    <w:name w:val="bf"/>
    <w:basedOn w:val="Standaard"/>
    <w:rsid w:val="0051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s">
    <w:name w:val="s"/>
    <w:basedOn w:val="Standaardalinea-lettertype"/>
    <w:rsid w:val="00515228"/>
  </w:style>
  <w:style w:type="character" w:customStyle="1" w:styleId="p">
    <w:name w:val="p"/>
    <w:basedOn w:val="Standaardalinea-lettertype"/>
    <w:rsid w:val="00515228"/>
  </w:style>
  <w:style w:type="character" w:customStyle="1" w:styleId="termslinkcontainer">
    <w:name w:val="termslinkcontainer"/>
    <w:basedOn w:val="Standaardalinea-lettertype"/>
    <w:rsid w:val="00515228"/>
  </w:style>
  <w:style w:type="character" w:customStyle="1" w:styleId="cookielinkcontainer">
    <w:name w:val="cookielinkcontainer"/>
    <w:basedOn w:val="Standaardalinea-lettertype"/>
    <w:rsid w:val="0051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6247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6163">
                  <w:marLeft w:val="907"/>
                  <w:marRight w:val="907"/>
                  <w:marTop w:val="1276"/>
                  <w:marBottom w:val="12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03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3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90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2581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14697">
                              <w:marLeft w:val="195"/>
                              <w:marRight w:val="0"/>
                              <w:marTop w:val="75"/>
                              <w:marBottom w:val="15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  <w:div w:id="12875454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729586">
                              <w:marLeft w:val="195"/>
                              <w:marRight w:val="0"/>
                              <w:marTop w:val="75"/>
                              <w:marBottom w:val="15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  <w:div w:id="4930322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50723">
                              <w:marLeft w:val="195"/>
                              <w:marRight w:val="0"/>
                              <w:marTop w:val="75"/>
                              <w:marBottom w:val="15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8485226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5075">
                          <w:marLeft w:val="195"/>
                          <w:marRight w:val="0"/>
                          <w:marTop w:val="75"/>
                          <w:marBottom w:val="15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  <w:div w:id="1795847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2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9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709035">
                              <w:marLeft w:val="195"/>
                              <w:marRight w:val="0"/>
                              <w:marTop w:val="75"/>
                              <w:marBottom w:val="15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  <w:div w:id="14091592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063">
                              <w:marLeft w:val="195"/>
                              <w:marRight w:val="0"/>
                              <w:marTop w:val="75"/>
                              <w:marBottom w:val="15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  <w:div w:id="34394598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483189">
                              <w:marLeft w:val="195"/>
                              <w:marRight w:val="0"/>
                              <w:marTop w:val="75"/>
                              <w:marBottom w:val="15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8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eurolandir.com/" TargetMode="External"/><Relationship Id="rId13" Type="http://schemas.openxmlformats.org/officeDocument/2006/relationships/hyperlink" Target="http://www.rns.com/" TargetMode="External"/><Relationship Id="rId18" Type="http://schemas.openxmlformats.org/officeDocument/2006/relationships/hyperlink" Target="https://tools.eurolandir.com/legal/cookie/?lang=en-G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ols.eurolandir.com/" TargetMode="External"/><Relationship Id="rId12" Type="http://schemas.openxmlformats.org/officeDocument/2006/relationships/hyperlink" Target="mailto:rns@lseg.com" TargetMode="External"/><Relationship Id="rId17" Type="http://schemas.openxmlformats.org/officeDocument/2006/relationships/hyperlink" Target="https://tools.eurolandir.com/legal/terms/?lang=en-GB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ools.eurolandir.com/" TargetMode="External"/><Relationship Id="rId11" Type="http://schemas.openxmlformats.org/officeDocument/2006/relationships/hyperlink" Target="javascript:window.close();" TargetMode="External"/><Relationship Id="rId5" Type="http://schemas.openxmlformats.org/officeDocument/2006/relationships/hyperlink" Target="https://tools.eurolandir.com/" TargetMode="External"/><Relationship Id="rId15" Type="http://schemas.openxmlformats.org/officeDocument/2006/relationships/hyperlink" Target="https://www.euroland.com/" TargetMode="External"/><Relationship Id="rId10" Type="http://schemas.openxmlformats.org/officeDocument/2006/relationships/hyperlink" Target="https://www.addtoany.com/shar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tools.eurolandir.com/" TargetMode="External"/><Relationship Id="rId9" Type="http://schemas.openxmlformats.org/officeDocument/2006/relationships/hyperlink" Target="https://tools.eurolandir.com/" TargetMode="External"/><Relationship Id="rId14" Type="http://schemas.openxmlformats.org/officeDocument/2006/relationships/hyperlink" Target="https://www.lseg.com/privacy-and-cookie-policy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2024-05-21T15:41:00Z</dcterms:created>
  <dcterms:modified xsi:type="dcterms:W3CDTF">2024-05-21T15:42:00Z</dcterms:modified>
</cp:coreProperties>
</file>