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A34F0D" w:rsidRPr="00A34F0D" w:rsidTr="00A34F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A34F0D" w:rsidRPr="00A34F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4F0D" w:rsidRPr="00A34F0D" w:rsidRDefault="00A34F0D" w:rsidP="00A34F0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A34F0D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bdr w:val="none" w:sz="0" w:space="0" w:color="auto" w:frame="1"/>
                      <w:lang w:eastAsia="nl-BE"/>
                    </w:rPr>
                    <w:t>AGM statement</w:t>
                  </w:r>
                </w:p>
              </w:tc>
            </w:tr>
            <w:tr w:rsidR="00A34F0D" w:rsidRPr="00A34F0D">
              <w:trPr>
                <w:trHeight w:val="1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4F0D" w:rsidRPr="00A34F0D" w:rsidRDefault="00A34F0D" w:rsidP="00A34F0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</w:p>
              </w:tc>
            </w:tr>
            <w:tr w:rsidR="00A34F0D" w:rsidRPr="00A34F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4F0D" w:rsidRPr="00A34F0D" w:rsidRDefault="00A34F0D" w:rsidP="00A34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A34F0D" w:rsidRPr="00A34F0D" w:rsidRDefault="00A34F0D" w:rsidP="00A34F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</w:p>
        </w:tc>
      </w:tr>
      <w:tr w:rsidR="00A34F0D" w:rsidRPr="00A34F0D" w:rsidTr="00A34F0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A34F0D" w:rsidRPr="00A34F0D" w:rsidRDefault="00A34F0D" w:rsidP="00A3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34F0D" w:rsidRPr="00A34F0D" w:rsidTr="00A34F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Annual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General Meeting (AGM) of RTL Group, on 24 April 2024,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approved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statutory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consolidated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accounts as at 31 December 2023,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all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proposed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resolutions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.</w:t>
            </w:r>
          </w:p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AGM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resolved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to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pay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 dividend of €2.75 per share. The dividend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for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full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year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ended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31 December 2023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will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payable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from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29 April 2024 (ex-date: 25 April 2024) at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following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banks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:</w:t>
            </w:r>
          </w:p>
          <w:p w:rsidR="00A34F0D" w:rsidRPr="00A34F0D" w:rsidRDefault="00A34F0D" w:rsidP="00A34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 Grand-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Duchy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of Luxembourg: ING Luxembourg SA</w:t>
            </w:r>
          </w:p>
          <w:p w:rsidR="00A34F0D" w:rsidRPr="00A34F0D" w:rsidRDefault="00A34F0D" w:rsidP="00A34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Belgium: ING SA</w:t>
            </w:r>
          </w:p>
          <w:p w:rsidR="00A34F0D" w:rsidRPr="00A34F0D" w:rsidRDefault="00A34F0D" w:rsidP="00A34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Germany: Deutsche Bank AG</w:t>
            </w:r>
          </w:p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AGM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appointed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Björn Bauer as Executive Director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for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 term of office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three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years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,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expiring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at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end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AGM ruling on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2026 accounts.</w:t>
            </w:r>
          </w:p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Björn Bauer</w:t>
            </w: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 has been CFO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 member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Executive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Committee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of RTL Group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since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August 2019. He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started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his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career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in management consulting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from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2007 on, held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several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finance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leadership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positions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within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Bertelsmann Group.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Previous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to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his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current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role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as CFO of RTL Group, he was Executive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Vice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President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for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Corporate Controlling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Strategy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at Bertelsmann.</w:t>
            </w:r>
          </w:p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AGM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renewed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appointments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of Thomas Rabe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Elmar Heggen as Executive Directors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all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Non-Executive Directors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for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 term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three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years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,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expiring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at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end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AGM ruling on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2026 accounts.</w:t>
            </w:r>
          </w:p>
          <w:p w:rsidR="00A34F0D" w:rsidRPr="00A34F0D" w:rsidRDefault="00A34F0D" w:rsidP="00A34F0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digital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version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of RTL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Group’s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Annual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Report 2023 –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with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advanced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download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functions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including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ESEF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documents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and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video content – is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available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at: </w:t>
            </w:r>
            <w:hyperlink r:id="rId5" w:tgtFrame="_blank" w:history="1">
              <w:r w:rsidRPr="00A34F0D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nl-BE"/>
                </w:rPr>
                <w:t>annual-report2023.rtl.com</w:t>
              </w:r>
            </w:hyperlink>
          </w:p>
          <w:p w:rsidR="00A34F0D" w:rsidRPr="00A34F0D" w:rsidRDefault="00A34F0D" w:rsidP="00A34F0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PDF document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can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downloaded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on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company’s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website: </w:t>
            </w:r>
            <w:hyperlink r:id="rId6" w:tgtFrame="_blank" w:history="1">
              <w:r w:rsidRPr="00A34F0D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nl-BE"/>
                </w:rPr>
                <w:t>company.rtl.com/en/investor-relations/overview/financial-publications</w:t>
              </w:r>
            </w:hyperlink>
          </w:p>
          <w:p w:rsidR="00A34F0D" w:rsidRPr="00A34F0D" w:rsidRDefault="00A34F0D" w:rsidP="00A34F0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The minutes of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the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AGM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will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soon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available</w:t>
            </w:r>
            <w:proofErr w:type="spellEnd"/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at: </w:t>
            </w:r>
            <w:hyperlink r:id="rId7" w:anchor="AGM" w:tgtFrame="_blank" w:history="1">
              <w:r w:rsidRPr="00A34F0D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nl-BE"/>
                </w:rPr>
                <w:t>company.rtl.com/en/investor-relations/overview/calendar-and-events/#AGM</w:t>
              </w:r>
            </w:hyperlink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 </w:t>
            </w:r>
          </w:p>
          <w:p w:rsidR="00A34F0D" w:rsidRPr="00A34F0D" w:rsidRDefault="00A34F0D" w:rsidP="00A34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 </w:t>
            </w:r>
          </w:p>
        </w:tc>
      </w:tr>
      <w:tr w:rsidR="00A34F0D" w:rsidRPr="00A34F0D" w:rsidTr="00A34F0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A34F0D" w:rsidRPr="00A34F0D" w:rsidRDefault="00A34F0D" w:rsidP="00A34F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</w:p>
        </w:tc>
      </w:tr>
      <w:tr w:rsidR="00A34F0D" w:rsidRPr="00A34F0D" w:rsidTr="00A34F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A34F0D" w:rsidRPr="00A34F0D">
              <w:trPr>
                <w:trHeight w:val="300"/>
              </w:trPr>
              <w:tc>
                <w:tcPr>
                  <w:tcW w:w="300" w:type="dxa"/>
                  <w:vAlign w:val="center"/>
                  <w:hideMark/>
                </w:tcPr>
                <w:p w:rsidR="00A34F0D" w:rsidRPr="00A34F0D" w:rsidRDefault="00A34F0D" w:rsidP="00A34F0D">
                  <w:pPr>
                    <w:spacing w:beforeAutospacing="1" w:after="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hyperlink r:id="rId8" w:tgtFrame="_blank" w:history="1"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"/>
                        <w:szCs w:val="2"/>
                        <w:u w:val="single"/>
                        <w:bdr w:val="none" w:sz="0" w:space="0" w:color="auto" w:frame="1"/>
                        <w:lang w:eastAsia="nl-BE"/>
                      </w:rPr>
                      <w:t> </w:t>
                    </w:r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 xml:space="preserve"> Read </w:t>
                    </w:r>
                    <w:proofErr w:type="spellStart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>the</w:t>
                    </w:r>
                    <w:proofErr w:type="spellEnd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 xml:space="preserve"> full </w:t>
                    </w:r>
                    <w:proofErr w:type="spellStart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>press</w:t>
                    </w:r>
                    <w:proofErr w:type="spellEnd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 xml:space="preserve"> release on </w:t>
                    </w:r>
                    <w:proofErr w:type="spellStart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>the</w:t>
                    </w:r>
                    <w:proofErr w:type="spellEnd"/>
                    <w:r w:rsidRPr="00A34F0D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 xml:space="preserve"> media hub</w:t>
                    </w:r>
                  </w:hyperlink>
                </w:p>
              </w:tc>
            </w:tr>
            <w:tr w:rsidR="00A34F0D" w:rsidRPr="00A34F0D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:rsidR="00A34F0D" w:rsidRPr="00A34F0D" w:rsidRDefault="00A34F0D" w:rsidP="00A34F0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</w:p>
              </w:tc>
            </w:tr>
            <w:tr w:rsidR="00A34F0D" w:rsidRPr="00A34F0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6"/>
                    <w:gridCol w:w="806"/>
                    <w:gridCol w:w="806"/>
                    <w:gridCol w:w="806"/>
                  </w:tblGrid>
                  <w:tr w:rsidR="00A34F0D" w:rsidRPr="00A34F0D">
                    <w:tc>
                      <w:tcPr>
                        <w:tcW w:w="806" w:type="dxa"/>
                        <w:tcMar>
                          <w:top w:w="0" w:type="dxa"/>
                          <w:left w:w="0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34F0D" w:rsidRPr="00A34F0D" w:rsidRDefault="00A34F0D" w:rsidP="00A34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</w:p>
                    </w:tc>
                    <w:tc>
                      <w:tcPr>
                        <w:tcW w:w="806" w:type="dxa"/>
                        <w:tcMar>
                          <w:top w:w="0" w:type="dxa"/>
                          <w:left w:w="0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34F0D" w:rsidRPr="00A34F0D" w:rsidRDefault="00A34F0D" w:rsidP="00A34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</w:p>
                    </w:tc>
                    <w:tc>
                      <w:tcPr>
                        <w:tcW w:w="806" w:type="dxa"/>
                        <w:tcMar>
                          <w:top w:w="0" w:type="dxa"/>
                          <w:left w:w="0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34F0D" w:rsidRPr="00A34F0D" w:rsidRDefault="00A34F0D" w:rsidP="00A34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</w:p>
                    </w:tc>
                    <w:tc>
                      <w:tcPr>
                        <w:tcW w:w="806" w:type="dxa"/>
                        <w:tcMar>
                          <w:top w:w="0" w:type="dxa"/>
                          <w:left w:w="0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34F0D" w:rsidRPr="00A34F0D" w:rsidRDefault="00A34F0D" w:rsidP="00A34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</w:p>
                    </w:tc>
                  </w:tr>
                </w:tbl>
                <w:p w:rsidR="00A34F0D" w:rsidRPr="00A34F0D" w:rsidRDefault="00A34F0D" w:rsidP="00A34F0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A34F0D" w:rsidRPr="00A34F0D" w:rsidRDefault="00A34F0D" w:rsidP="00A34F0D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nl-BE"/>
              </w:rPr>
            </w:pPr>
          </w:p>
        </w:tc>
      </w:tr>
    </w:tbl>
    <w:p w:rsidR="00A34F0D" w:rsidRPr="00A34F0D" w:rsidRDefault="00A34F0D" w:rsidP="00A34F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A34F0D" w:rsidRPr="00A34F0D" w:rsidTr="00A34F0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</w:tcBorders>
            <w:tcMar>
              <w:top w:w="525" w:type="dxa"/>
              <w:left w:w="0" w:type="dxa"/>
              <w:bottom w:w="375" w:type="dxa"/>
              <w:right w:w="0" w:type="dxa"/>
            </w:tcMar>
            <w:vAlign w:val="center"/>
            <w:hideMark/>
          </w:tcPr>
          <w:p w:rsidR="00A34F0D" w:rsidRPr="00A34F0D" w:rsidRDefault="00A34F0D" w:rsidP="00A34F0D">
            <w:pPr>
              <w:spacing w:after="0" w:line="345" w:lineRule="atLeast"/>
              <w:rPr>
                <w:rFonts w:ascii="Arial" w:eastAsia="Times New Roman" w:hAnsi="Arial" w:cs="Arial"/>
                <w:sz w:val="21"/>
                <w:szCs w:val="21"/>
                <w:lang w:eastAsia="nl-BE"/>
              </w:rPr>
            </w:pPr>
            <w:r w:rsidRPr="00A34F0D">
              <w:rPr>
                <w:rFonts w:ascii="Arial" w:eastAsia="Times New Roman" w:hAnsi="Arial" w:cs="Arial"/>
                <w:sz w:val="21"/>
                <w:szCs w:val="21"/>
                <w:lang w:eastAsia="nl-BE"/>
              </w:rPr>
              <w:t>Contact</w:t>
            </w:r>
          </w:p>
        </w:tc>
      </w:tr>
      <w:tr w:rsidR="00A34F0D" w:rsidRPr="00A34F0D" w:rsidTr="00A34F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0D" w:rsidRPr="00A34F0D" w:rsidRDefault="00A34F0D" w:rsidP="00A34F0D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nl-BE"/>
              </w:rPr>
            </w:pPr>
            <w:r w:rsidRPr="00A34F0D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  <w:lang w:eastAsia="nl-BE"/>
              </w:rPr>
              <w:lastRenderedPageBreak/>
              <w:t xml:space="preserve">Oliver </w:t>
            </w:r>
            <w:proofErr w:type="spellStart"/>
            <w:r w:rsidRPr="00A34F0D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  <w:lang w:eastAsia="nl-BE"/>
              </w:rPr>
              <w:t>Fahlbusch</w:t>
            </w:r>
            <w:proofErr w:type="spellEnd"/>
            <w:r w:rsidRPr="00A34F0D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eastAsia="nl-BE"/>
              </w:rPr>
              <w:t>  |  EVP Communications &amp; Investor Relations RTL Group  |  T: +49 173 284 78 73  |  </w:t>
            </w:r>
            <w:hyperlink r:id="rId9" w:history="1">
              <w:r w:rsidRPr="00A34F0D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nl-BE"/>
                </w:rPr>
                <w:t>oliver.fahlbusch@rtl.com</w:t>
              </w:r>
            </w:hyperlink>
            <w:r w:rsidRPr="00A34F0D">
              <w:rPr>
                <w:rFonts w:ascii="Arial" w:eastAsia="Times New Roman" w:hAnsi="Arial" w:cs="Arial"/>
                <w:sz w:val="21"/>
                <w:szCs w:val="21"/>
                <w:lang w:eastAsia="nl-BE"/>
              </w:rPr>
              <w:br/>
            </w:r>
            <w:r w:rsidRPr="00A34F0D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  <w:lang w:eastAsia="nl-BE"/>
              </w:rPr>
              <w:t xml:space="preserve">Irina </w:t>
            </w:r>
            <w:proofErr w:type="spellStart"/>
            <w:r w:rsidRPr="00A34F0D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  <w:lang w:eastAsia="nl-BE"/>
              </w:rPr>
              <w:t>Mettner-Isfort</w:t>
            </w:r>
            <w:proofErr w:type="spellEnd"/>
            <w:r w:rsidRPr="00A34F0D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eastAsia="nl-BE"/>
              </w:rPr>
              <w:t>  |  VP Media &amp; Investor Relations RTL Group  |  T: +49 221 456 56410  |  </w:t>
            </w:r>
            <w:hyperlink r:id="rId10" w:history="1">
              <w:r w:rsidRPr="00A34F0D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nl-BE"/>
                </w:rPr>
                <w:t>irina.mettner.isfort@rtl.com</w:t>
              </w:r>
            </w:hyperlink>
          </w:p>
        </w:tc>
      </w:tr>
    </w:tbl>
    <w:p w:rsidR="0094291E" w:rsidRDefault="0094291E">
      <w:bookmarkStart w:id="0" w:name="_GoBack"/>
      <w:bookmarkEnd w:id="0"/>
    </w:p>
    <w:sectPr w:rsidR="0094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D233A"/>
    <w:multiLevelType w:val="multilevel"/>
    <w:tmpl w:val="66F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D"/>
    <w:rsid w:val="0094291E"/>
    <w:rsid w:val="00A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0DAD7-F511-4BEF-948E-FEDF317C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3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A34F0D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A34F0D"/>
    <w:rPr>
      <w:color w:val="0000FF"/>
      <w:u w:val="single"/>
    </w:rPr>
  </w:style>
  <w:style w:type="paragraph" w:customStyle="1" w:styleId="xmsonormal">
    <w:name w:val="x_msonormal"/>
    <w:basedOn w:val="Standaard"/>
    <w:rsid w:val="00A3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rtl.com/meldung/AGM-statement-00003/?__local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any.rtl.com/en/investor-relations/overview/calendar-and-ev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any.rtl.com/en/investor-relations/overview/financial-publicati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nual-report2023.rtl.com/" TargetMode="External"/><Relationship Id="rId10" Type="http://schemas.openxmlformats.org/officeDocument/2006/relationships/hyperlink" Target="mailto:irina.mettner.isfort@rt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er.fahlbusch@rt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2024-04-24T15:10:00Z</dcterms:created>
  <dcterms:modified xsi:type="dcterms:W3CDTF">2024-04-24T15:11:00Z</dcterms:modified>
</cp:coreProperties>
</file>