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8D28BF" w:rsidRPr="008D28BF" w:rsidTr="008D28BF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8D28BF" w:rsidRPr="008D28BF">
              <w:tc>
                <w:tcPr>
                  <w:tcW w:w="0" w:type="auto"/>
                  <w:tcMar>
                    <w:top w:w="0" w:type="dxa"/>
                    <w:left w:w="525" w:type="dxa"/>
                    <w:bottom w:w="300" w:type="dxa"/>
                    <w:right w:w="525" w:type="dxa"/>
                  </w:tcMar>
                  <w:vAlign w:val="center"/>
                  <w:hideMark/>
                </w:tcPr>
                <w:p w:rsidR="008D28BF" w:rsidRPr="008D28BF" w:rsidRDefault="008D28BF" w:rsidP="008D28BF">
                  <w:pPr>
                    <w:spacing w:before="195" w:after="195" w:line="270" w:lineRule="atLeast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>Paris, April 24, 2024 </w:t>
                  </w:r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–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TotalEnergies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announces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that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its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85%-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owned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affiliate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,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TotalEnergies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EP Congo, has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signed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agreement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with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Trident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Energy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combining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acquisition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of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additional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 10% interest in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Moho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license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from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 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Trident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Energy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sale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Trident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Energy of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its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53.5% interest in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Nkossa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Nsoko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II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licenses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.</w:t>
                  </w:r>
                </w:p>
                <w:p w:rsidR="008D28BF" w:rsidRPr="008D28BF" w:rsidRDefault="008D28BF" w:rsidP="008D28BF">
                  <w:pPr>
                    <w:spacing w:before="195" w:after="195" w:line="270" w:lineRule="atLeast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Moho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is a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deep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-offshore field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located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80 kilometers off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coast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of Pointe Noire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operated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by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TotalEnergies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EP Congo.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Production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increased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significantly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in 2017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with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startup of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Moho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Nord project.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Production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facilities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include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two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Floating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Production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Units (FPU), 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Alima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 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 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Likouf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,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combining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for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a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current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output of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around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100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kboe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/d (100%).</w:t>
                  </w:r>
                </w:p>
                <w:p w:rsidR="008D28BF" w:rsidRPr="008D28BF" w:rsidRDefault="008D28BF" w:rsidP="008D28BF">
                  <w:pPr>
                    <w:spacing w:before="195" w:after="195" w:line="270" w:lineRule="atLeast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Nkossa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Nsoko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II are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two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offshore fields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located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70 kilometers off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coast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.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Starting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respectively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in 1996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2006,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they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are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mature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oil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fields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currently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producing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a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combined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15 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kboe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/d (100%).</w:t>
                  </w:r>
                </w:p>
                <w:p w:rsidR="008D28BF" w:rsidRPr="008D28BF" w:rsidRDefault="008D28BF" w:rsidP="008D28BF">
                  <w:pPr>
                    <w:spacing w:before="195" w:after="195" w:line="270" w:lineRule="atLeast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After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completion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of these transactions,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which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are subject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customary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conditions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precedent, in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particular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regulatory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approvals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,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completion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of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Trident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Energy’s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acquisition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of Chevron Congo,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TotalEnergies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EP Congo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will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hold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a 63.5%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operated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interest in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Moho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license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alongside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Trident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Energy (21.5%)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Société Nationale des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Pétroles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du Congo (SNPC, 15%).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Trident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Energy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will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hold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a 85%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operated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interest in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Nkossa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Nsoko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II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licenses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alongside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SNPC (15%).</w:t>
                  </w:r>
                </w:p>
                <w:p w:rsidR="008D28BF" w:rsidRPr="008D28BF" w:rsidRDefault="008D28BF" w:rsidP="008D28BF">
                  <w:pPr>
                    <w:spacing w:before="195" w:after="195" w:line="270" w:lineRule="atLeast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“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With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these transactions,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TotalEnergies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continues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to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dynamically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manage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its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portfolio. In line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with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our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strategy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, we focus on low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cost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, low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emission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assets,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leverage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our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deep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offshore expertise”, 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said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 </w:t>
                  </w:r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 xml:space="preserve">Mike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>Sangster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 xml:space="preserve">, Senior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>Vice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 xml:space="preserve"> President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>Africa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 xml:space="preserve">, Exploration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>Production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 xml:space="preserve"> at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>TotalEnergies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nl-BE"/>
                    </w:rPr>
                    <w:t>.</w:t>
                  </w:r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 “As a long-term partner of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Republic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of Congo,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TotalEnergies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remains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fully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committed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to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country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through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our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increased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stake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operatorship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in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Moho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field,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is preparing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for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drilling of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an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exploration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well on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Marine XX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license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before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>summer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nl-BE"/>
                    </w:rPr>
                    <w:t xml:space="preserve"> 2024.”</w:t>
                  </w:r>
                </w:p>
                <w:p w:rsidR="008D28BF" w:rsidRPr="008D28BF" w:rsidRDefault="008D28BF" w:rsidP="008D28BF">
                  <w:pPr>
                    <w:spacing w:after="0" w:line="270" w:lineRule="atLeast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</w:pPr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Read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full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press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release in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attachment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and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 xml:space="preserve"> on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the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 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fldChar w:fldCharType="begin"/>
                  </w:r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instrText xml:space="preserve"> HYPERLINK "https://tracking.mail.totalenergies.com/lnk/CAAABXX5tGoAAAAAAAAAABvDMqAAAAAA_s0AAAAAABhrDwBmKKM1uao8KsH4T7SqsabXEm50SQAI1Ko/1/BiuqpETBQFp_OvRqxHCcfw/aHR0cHM6Ly90b3RhbGVuZXJnaWVzLmNvbS9tZWRpYS9wcmVzcy1yZWxlYXNlcw" \t "_blank" </w:instrText>
                  </w:r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fldChar w:fldCharType="separate"/>
                  </w:r>
                  <w:r w:rsidRPr="008D28BF">
                    <w:rPr>
                      <w:rFonts w:ascii="Arial" w:eastAsia="Times New Roman" w:hAnsi="Arial" w:cs="Arial"/>
                      <w:color w:val="0000FF"/>
                      <w:sz w:val="24"/>
                      <w:szCs w:val="24"/>
                      <w:u w:val="single"/>
                      <w:bdr w:val="none" w:sz="0" w:space="0" w:color="auto" w:frame="1"/>
                      <w:lang w:eastAsia="nl-BE"/>
                    </w:rPr>
                    <w:t>TotalEnergies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fldChar w:fldCharType="end"/>
                  </w:r>
                  <w:r w:rsidRPr="008D28BF">
                    <w:rPr>
                      <w:rFonts w:ascii="Arial" w:eastAsia="Times New Roman" w:hAnsi="Arial" w:cs="Arial"/>
                      <w:sz w:val="24"/>
                      <w:szCs w:val="24"/>
                      <w:lang w:eastAsia="nl-BE"/>
                    </w:rPr>
                    <w:t> website.</w:t>
                  </w:r>
                </w:p>
              </w:tc>
            </w:tr>
          </w:tbl>
          <w:p w:rsidR="008D28BF" w:rsidRPr="008D28BF" w:rsidRDefault="008D28BF" w:rsidP="008D28BF">
            <w:pPr>
              <w:spacing w:after="0" w:line="240" w:lineRule="auto"/>
              <w:textAlignment w:val="top"/>
              <w:rPr>
                <w:rFonts w:ascii="inherit" w:eastAsia="Times New Roman" w:hAnsi="inherit" w:cs="Times New Roman"/>
                <w:sz w:val="20"/>
                <w:szCs w:val="20"/>
                <w:lang w:eastAsia="nl-BE"/>
              </w:rPr>
            </w:pPr>
          </w:p>
        </w:tc>
      </w:tr>
      <w:tr w:rsidR="008D28BF" w:rsidRPr="008D28BF" w:rsidTr="008D28BF">
        <w:trPr>
          <w:jc w:val="center"/>
        </w:trPr>
        <w:tc>
          <w:tcPr>
            <w:tcW w:w="0" w:type="auto"/>
            <w:tcBorders>
              <w:top w:val="single" w:sz="6" w:space="0" w:color="ED0000"/>
            </w:tcBorders>
            <w:tcMar>
              <w:top w:w="300" w:type="dxa"/>
              <w:left w:w="525" w:type="dxa"/>
              <w:bottom w:w="300" w:type="dxa"/>
              <w:right w:w="52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8D28BF" w:rsidRPr="008D28BF">
              <w:tc>
                <w:tcPr>
                  <w:tcW w:w="0" w:type="auto"/>
                  <w:vAlign w:val="center"/>
                  <w:hideMark/>
                </w:tcPr>
                <w:p w:rsidR="008D28BF" w:rsidRPr="008D28BF" w:rsidRDefault="008D28BF" w:rsidP="008D28BF">
                  <w:pPr>
                    <w:spacing w:after="0" w:line="330" w:lineRule="atLeast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nl-BE"/>
                    </w:rPr>
                  </w:pPr>
                  <w:proofErr w:type="spellStart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nl-BE"/>
                    </w:rPr>
                    <w:t>Télécharger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nl-BE"/>
                    </w:rPr>
                    <w:t xml:space="preserve"> les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nl-BE"/>
                    </w:rPr>
                    <w:t>documents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nl-BE"/>
                    </w:rPr>
                    <w:t xml:space="preserve"> / Download files</w:t>
                  </w:r>
                </w:p>
              </w:tc>
            </w:tr>
          </w:tbl>
          <w:p w:rsidR="008D28BF" w:rsidRPr="008D28BF" w:rsidRDefault="008D28BF" w:rsidP="008D28BF">
            <w:pPr>
              <w:spacing w:after="0" w:line="240" w:lineRule="auto"/>
              <w:textAlignment w:val="top"/>
              <w:rPr>
                <w:rFonts w:ascii="inherit" w:eastAsia="Times New Roman" w:hAnsi="inherit" w:cs="Times New Roman"/>
                <w:sz w:val="20"/>
                <w:szCs w:val="20"/>
                <w:lang w:eastAsia="nl-BE"/>
              </w:rPr>
            </w:pPr>
          </w:p>
        </w:tc>
      </w:tr>
    </w:tbl>
    <w:p w:rsidR="008D28BF" w:rsidRPr="008D28BF" w:rsidRDefault="008D28BF" w:rsidP="008D28BF">
      <w:pPr>
        <w:spacing w:after="0" w:line="240" w:lineRule="auto"/>
        <w:textAlignment w:val="baseline"/>
        <w:rPr>
          <w:rFonts w:ascii="Segoe UI" w:eastAsia="Times New Roman" w:hAnsi="Segoe UI" w:cs="Segoe UI"/>
          <w:vanish/>
          <w:color w:val="242424"/>
          <w:sz w:val="23"/>
          <w:szCs w:val="23"/>
          <w:lang w:eastAsia="nl-BE"/>
        </w:rPr>
      </w:pPr>
    </w:p>
    <w:tbl>
      <w:tblPr>
        <w:tblW w:w="102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8D28BF" w:rsidRPr="008D28BF" w:rsidTr="008D28BF">
        <w:trPr>
          <w:jc w:val="center"/>
        </w:trPr>
        <w:tc>
          <w:tcPr>
            <w:tcW w:w="0" w:type="auto"/>
            <w:tcBorders>
              <w:top w:val="nil"/>
            </w:tcBorders>
            <w:tcMar>
              <w:top w:w="0" w:type="dxa"/>
              <w:left w:w="225" w:type="dxa"/>
              <w:bottom w:w="300" w:type="dxa"/>
              <w:right w:w="225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8D28BF" w:rsidRPr="008D28B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00"/>
                  </w:tblGrid>
                  <w:tr w:rsidR="008D28BF" w:rsidRPr="008D28BF">
                    <w:trPr>
                      <w:jc w:val="center"/>
                    </w:trPr>
                    <w:tc>
                      <w:tcPr>
                        <w:tcW w:w="10200" w:type="dxa"/>
                        <w:vAlign w:val="center"/>
                        <w:hideMark/>
                      </w:tcPr>
                      <w:p w:rsidR="008D28BF" w:rsidRPr="008D28BF" w:rsidRDefault="008D28BF" w:rsidP="008D28B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BE"/>
                          </w:rPr>
                        </w:pPr>
                        <w:r w:rsidRPr="008D28BF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bdr w:val="none" w:sz="0" w:space="0" w:color="auto" w:frame="1"/>
                            <w:lang w:eastAsia="nl-BE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Rechthoek 1" descr="https://wiztopic.com/media/cache/resolve/theming_email_asset_card_grid_fs/6628124e6a3d1cb19e0ec0fa">
                                    <a:hlinkClick xmlns:a="http://schemas.openxmlformats.org/drawingml/2006/main" r:id="rId4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E5808CC" id="Rechthoek 1" o:spid="_x0000_s1026" alt="https://wiztopic.com/media/cache/resolve/theming_email_asset_card_grid_fs/6628124e6a3d1cb19e0ec0fa" href="https://tracking.mail.totalenergies.com/lnk/CAAABXX5tGoAAAAAAAAAABvDMqAAAAAA_s0AAAAAABhrDwBmKKM1uao8KsH4T7SqsabXEm50SQAI1Ko/2/nrJbBqQKhhBZd8KGvEgyhw/aHR0cHM6Ly9mci53aXp0b3BpYy5jb20vdG90YWxlbmVyZ2llcy9yZWRpcmVjdC9wZXJtYWxpbmsvZmlsZS82NjI4MTI0ZDZhM2QxY2IxOWUwZWMwZjQvdHJ1ZS8_ZW1haWw9MSZlbWFpbFN1YmplY3Q9UHJlc3MlMjBSZWxlYXNlJTIwLSUyMFJlcHVibGljJTIwb2YlMjBDb25nbzolMjBUb3RhbEVuZXJnaWVzJTIwaW5jcmVhc2VzJTIwaXRzJTIwaW50ZXJlc3QlMjBpbiUyMGdpYW50JTIwZmllbGQlMjBNb2hvJTIwYW5kJTIwZGl2ZXN0cyUyMHR3byUyMG1hdHVyZSUyMGFzc2V0cyZzb3VyY2U9Y2FtcGFpZ24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8D28BF" w:rsidRPr="008D28BF" w:rsidRDefault="008D28BF" w:rsidP="008D28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nl-BE"/>
                    </w:rPr>
                  </w:pPr>
                </w:p>
              </w:tc>
            </w:tr>
            <w:tr w:rsidR="008D28BF" w:rsidRPr="008D28BF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p w:rsidR="008D28BF" w:rsidRPr="008D28BF" w:rsidRDefault="008D28BF" w:rsidP="008D28BF">
                  <w:pPr>
                    <w:wordWrap w:val="0"/>
                    <w:spacing w:after="0" w:line="330" w:lineRule="atLeast"/>
                    <w:textAlignment w:val="baseline"/>
                    <w:outlineLvl w:val="3"/>
                    <w:rPr>
                      <w:rFonts w:ascii="Arial" w:eastAsia="Times New Roman" w:hAnsi="Arial" w:cs="Arial"/>
                      <w:sz w:val="21"/>
                      <w:szCs w:val="21"/>
                      <w:u w:val="single"/>
                      <w:lang w:eastAsia="nl-BE"/>
                    </w:rPr>
                  </w:pPr>
                  <w:proofErr w:type="spellStart"/>
                  <w:r w:rsidRPr="008D28BF">
                    <w:rPr>
                      <w:rFonts w:ascii="Arial" w:eastAsia="Times New Roman" w:hAnsi="Arial" w:cs="Arial"/>
                      <w:sz w:val="21"/>
                      <w:szCs w:val="21"/>
                      <w:u w:val="single"/>
                      <w:lang w:eastAsia="nl-BE"/>
                    </w:rPr>
                    <w:t>PR_Republic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1"/>
                      <w:szCs w:val="21"/>
                      <w:u w:val="single"/>
                      <w:lang w:eastAsia="nl-BE"/>
                    </w:rPr>
                    <w:t xml:space="preserve"> of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1"/>
                      <w:szCs w:val="21"/>
                      <w:u w:val="single"/>
                      <w:lang w:eastAsia="nl-BE"/>
                    </w:rPr>
                    <w:t>Congo_TotalEnergies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1"/>
                      <w:szCs w:val="21"/>
                      <w:u w:val="single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1"/>
                      <w:szCs w:val="21"/>
                      <w:u w:val="single"/>
                      <w:lang w:eastAsia="nl-BE"/>
                    </w:rPr>
                    <w:t>increases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1"/>
                      <w:szCs w:val="21"/>
                      <w:u w:val="single"/>
                      <w:lang w:eastAsia="nl-BE"/>
                    </w:rPr>
                    <w:t xml:space="preserve"> </w:t>
                  </w:r>
                  <w:proofErr w:type="spellStart"/>
                  <w:r w:rsidRPr="008D28BF">
                    <w:rPr>
                      <w:rFonts w:ascii="Arial" w:eastAsia="Times New Roman" w:hAnsi="Arial" w:cs="Arial"/>
                      <w:sz w:val="21"/>
                      <w:szCs w:val="21"/>
                      <w:u w:val="single"/>
                      <w:lang w:eastAsia="nl-BE"/>
                    </w:rPr>
                    <w:t>its</w:t>
                  </w:r>
                  <w:proofErr w:type="spellEnd"/>
                  <w:r w:rsidRPr="008D28BF">
                    <w:rPr>
                      <w:rFonts w:ascii="Arial" w:eastAsia="Times New Roman" w:hAnsi="Arial" w:cs="Arial"/>
                      <w:sz w:val="21"/>
                      <w:szCs w:val="21"/>
                      <w:u w:val="single"/>
                      <w:lang w:eastAsia="nl-BE"/>
                    </w:rPr>
                    <w:t xml:space="preserve"> interest in Moho.pdf</w:t>
                  </w:r>
                </w:p>
              </w:tc>
            </w:tr>
          </w:tbl>
          <w:p w:rsidR="008D28BF" w:rsidRPr="008D28BF" w:rsidRDefault="008D28BF" w:rsidP="008D28BF">
            <w:pPr>
              <w:spacing w:after="0" w:line="240" w:lineRule="auto"/>
              <w:textAlignment w:val="top"/>
              <w:rPr>
                <w:rFonts w:ascii="inherit" w:eastAsia="Times New Roman" w:hAnsi="inherit" w:cs="Times New Roman"/>
                <w:sz w:val="20"/>
                <w:szCs w:val="20"/>
                <w:lang w:eastAsia="nl-BE"/>
              </w:rPr>
            </w:pPr>
          </w:p>
        </w:tc>
      </w:tr>
      <w:tr w:rsidR="008D28BF" w:rsidRPr="008D28BF" w:rsidTr="008D28BF">
        <w:trPr>
          <w:jc w:val="center"/>
        </w:trPr>
        <w:tc>
          <w:tcPr>
            <w:tcW w:w="0" w:type="auto"/>
            <w:tcBorders>
              <w:top w:val="single" w:sz="6" w:space="0" w:color="ED0000"/>
            </w:tcBorders>
            <w:tcMar>
              <w:top w:w="300" w:type="dxa"/>
              <w:left w:w="525" w:type="dxa"/>
              <w:bottom w:w="300" w:type="dxa"/>
              <w:right w:w="525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8D28BF" w:rsidRPr="008D28BF">
              <w:tc>
                <w:tcPr>
                  <w:tcW w:w="0" w:type="auto"/>
                  <w:vAlign w:val="center"/>
                  <w:hideMark/>
                </w:tcPr>
                <w:p w:rsidR="008D28BF" w:rsidRPr="008D28BF" w:rsidRDefault="008D28BF" w:rsidP="008D28BF">
                  <w:pPr>
                    <w:spacing w:after="0" w:line="330" w:lineRule="atLeast"/>
                    <w:textAlignment w:val="baseline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nl-BE"/>
                    </w:rPr>
                  </w:pPr>
                  <w:proofErr w:type="spellStart"/>
                  <w:r w:rsidRPr="008D28BF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nl-BE"/>
                    </w:rPr>
                    <w:t>Contacts</w:t>
                  </w:r>
                  <w:proofErr w:type="spellEnd"/>
                </w:p>
              </w:tc>
            </w:tr>
          </w:tbl>
          <w:p w:rsidR="008D28BF" w:rsidRPr="008D28BF" w:rsidRDefault="008D28BF" w:rsidP="008D28BF">
            <w:pPr>
              <w:spacing w:after="0" w:line="240" w:lineRule="auto"/>
              <w:textAlignment w:val="top"/>
              <w:rPr>
                <w:rFonts w:ascii="inherit" w:eastAsia="Times New Roman" w:hAnsi="inherit" w:cs="Times New Roman"/>
                <w:sz w:val="20"/>
                <w:szCs w:val="20"/>
                <w:lang w:eastAsia="nl-BE"/>
              </w:rPr>
            </w:pPr>
          </w:p>
        </w:tc>
      </w:tr>
    </w:tbl>
    <w:p w:rsidR="00482277" w:rsidRDefault="00482277">
      <w:bookmarkStart w:id="0" w:name="_GoBack"/>
      <w:bookmarkEnd w:id="0"/>
    </w:p>
    <w:sectPr w:rsidR="0048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BF"/>
    <w:rsid w:val="00482277"/>
    <w:rsid w:val="008D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F2775-26D9-4F24-B23E-F28B1AA0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4">
    <w:name w:val="heading 4"/>
    <w:basedOn w:val="Standaard"/>
    <w:link w:val="Kop4Char"/>
    <w:uiPriority w:val="9"/>
    <w:qFormat/>
    <w:rsid w:val="008D28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8D28BF"/>
    <w:rPr>
      <w:rFonts w:ascii="Times New Roman" w:eastAsia="Times New Roman" w:hAnsi="Times New Roman" w:cs="Times New Roman"/>
      <w:b/>
      <w:bCs/>
      <w:sz w:val="24"/>
      <w:szCs w:val="24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8D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8D28BF"/>
    <w:rPr>
      <w:b/>
      <w:bCs/>
    </w:rPr>
  </w:style>
  <w:style w:type="character" w:styleId="Nadruk">
    <w:name w:val="Emphasis"/>
    <w:basedOn w:val="Standaardalinea-lettertype"/>
    <w:uiPriority w:val="20"/>
    <w:qFormat/>
    <w:rsid w:val="008D28BF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8D28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6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cking.mail.totalenergies.com/lnk/CAAABXX5tGoAAAAAAAAAABvDMqAAAAAA_s0AAAAAABhrDwBmKKM1uao8KsH4T7SqsabXEm50SQAI1Ko/2/nrJbBqQKhhBZd8KGvEgyhw/aHR0cHM6Ly9mci53aXp0b3BpYy5jb20vdG90YWxlbmVyZ2llcy9yZWRpcmVjdC9wZXJtYWxpbmsvZmlsZS82NjI4MTI0ZDZhM2QxY2IxOWUwZWMwZjQvdHJ1ZS8_ZW1haWw9MSZlbWFpbFN1YmplY3Q9UHJlc3MlMjBSZWxlYXNlJTIwLSUyMFJlcHVibGljJTIwb2YlMjBDb25nbzolMjBUb3RhbEVuZXJnaWVzJTIwaW5jcmVhc2VzJTIwaXRzJTIwaW50ZXJlc3QlMjBpbiUyMGdpYW50JTIwZmllbGQlMjBNb2hvJTIwYW5kJTIwZGl2ZXN0cyUyMHR3byUyMG1hdHVyZSUyMGFzc2V0cyZzb3VyY2U9Y2FtcGFpZ24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2024-04-24T06:39:00Z</dcterms:created>
  <dcterms:modified xsi:type="dcterms:W3CDTF">2024-04-24T06:40:00Z</dcterms:modified>
</cp:coreProperties>
</file>