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EA94" w14:textId="2D1372FB" w:rsidR="007D3DC5" w:rsidRDefault="005D3FF3" w:rsidP="00366FBE">
      <w:pPr>
        <w:jc w:val="center"/>
        <w:rPr>
          <w:b/>
          <w:bCs/>
        </w:rPr>
      </w:pPr>
      <w:r>
        <w:br/>
      </w:r>
      <w:r w:rsidR="007D3DC5" w:rsidRPr="00366FBE">
        <w:rPr>
          <w:rFonts w:ascii="Aptos" w:eastAsia="Arial" w:hAnsi="Aptos" w:cs="Arial"/>
          <w:b/>
          <w:bCs/>
          <w:noProof/>
          <w:kern w:val="0"/>
          <w:sz w:val="40"/>
          <w:szCs w:val="48"/>
          <w:lang w:val="nl-NL"/>
          <w14:ligatures w14:val="none"/>
        </w:rPr>
        <mc:AlternateContent>
          <mc:Choice Requires="wps">
            <w:drawing>
              <wp:anchor distT="45720" distB="45720" distL="114300" distR="114300" simplePos="0" relativeHeight="251658240" behindDoc="0" locked="0" layoutInCell="1" allowOverlap="1" wp14:anchorId="43D0B25F" wp14:editId="3AFD9CD9">
                <wp:simplePos x="0" y="0"/>
                <wp:positionH relativeFrom="column">
                  <wp:posOffset>-38100</wp:posOffset>
                </wp:positionH>
                <wp:positionV relativeFrom="paragraph">
                  <wp:posOffset>0</wp:posOffset>
                </wp:positionV>
                <wp:extent cx="12192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noFill/>
                        <a:ln w="9525">
                          <a:noFill/>
                          <a:miter lim="800000"/>
                          <a:headEnd/>
                          <a:tailEnd/>
                        </a:ln>
                      </wps:spPr>
                      <wps:txbx>
                        <w:txbxContent>
                          <w:p w14:paraId="4C42C6C7" w14:textId="77777777" w:rsidR="007D3DC5" w:rsidRDefault="007D3DC5" w:rsidP="007D3DC5">
                            <w:r w:rsidRPr="00984702">
                              <w:rPr>
                                <w:noProof/>
                              </w:rPr>
                              <w:drawing>
                                <wp:inline distT="0" distB="0" distL="0" distR="0" wp14:anchorId="36B5B084" wp14:editId="73417BD6">
                                  <wp:extent cx="1000125" cy="1000125"/>
                                  <wp:effectExtent l="0" t="0" r="9525" b="9525"/>
                                  <wp:docPr id="114164004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0B25F" id="_x0000_t202" coordsize="21600,21600" o:spt="202" path="m,l,21600r21600,l21600,xe">
                <v:stroke joinstyle="miter"/>
                <v:path gradientshapeok="t" o:connecttype="rect"/>
              </v:shapetype>
              <v:shape id="Tekstvak 2" o:spid="_x0000_s1026" type="#_x0000_t202" style="position:absolute;left:0;text-align:left;margin-left:-3pt;margin-top:0;width:9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Ad+QEAAM4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" filled="f" stroked="f">
                <v:textbox style="mso-fit-shape-to-text:t">
                  <w:txbxContent>
                    <w:p w14:paraId="4C42C6C7" w14:textId="77777777" w:rsidR="007D3DC5" w:rsidRDefault="007D3DC5" w:rsidP="007D3DC5">
                      <w:r w:rsidRPr="00984702">
                        <w:rPr>
                          <w:noProof/>
                        </w:rPr>
                        <w:drawing>
                          <wp:inline distT="0" distB="0" distL="0" distR="0" wp14:anchorId="36B5B084" wp14:editId="73417BD6">
                            <wp:extent cx="1000125" cy="1000125"/>
                            <wp:effectExtent l="0" t="0" r="9525" b="9525"/>
                            <wp:docPr id="114164004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xbxContent>
                </v:textbox>
                <w10:wrap type="square"/>
              </v:shape>
            </w:pict>
          </mc:Fallback>
        </mc:AlternateContent>
      </w:r>
      <w:r w:rsidR="00A17ED4" w:rsidRPr="00366FBE">
        <w:rPr>
          <w:b/>
          <w:bCs/>
          <w:sz w:val="32"/>
          <w:szCs w:val="32"/>
        </w:rPr>
        <w:t>PERSMEDEDELING</w:t>
      </w:r>
      <w:r w:rsidR="00A05DD1">
        <w:rPr>
          <w:b/>
          <w:bCs/>
          <w:sz w:val="32"/>
          <w:szCs w:val="32"/>
        </w:rPr>
        <w:br/>
      </w:r>
      <w:r w:rsidR="00A17ED4" w:rsidRPr="00366FBE">
        <w:rPr>
          <w:b/>
          <w:bCs/>
          <w:sz w:val="32"/>
          <w:szCs w:val="32"/>
        </w:rPr>
        <w:t>Co.Br.Ha. – Brouwerij Haacht</w:t>
      </w:r>
      <w:r w:rsidR="003C27F5">
        <w:rPr>
          <w:b/>
          <w:bCs/>
        </w:rPr>
        <w:br/>
      </w:r>
    </w:p>
    <w:p w14:paraId="445EC660" w14:textId="778701F2" w:rsidR="006D3142" w:rsidRPr="00AA3F89" w:rsidRDefault="003B6051" w:rsidP="007D3DC5">
      <w:pPr>
        <w:rPr>
          <w:b/>
          <w:bCs/>
          <w:sz w:val="20"/>
          <w:szCs w:val="20"/>
        </w:rPr>
      </w:pPr>
      <w:r>
        <w:rPr>
          <w:b/>
          <w:bCs/>
          <w:sz w:val="28"/>
          <w:szCs w:val="28"/>
        </w:rPr>
        <w:br/>
      </w:r>
      <w:r w:rsidR="00B009C9" w:rsidRPr="00945D38">
        <w:rPr>
          <w:b/>
          <w:bCs/>
          <w:sz w:val="28"/>
          <w:szCs w:val="28"/>
        </w:rPr>
        <w:t>Resultaten Q1 - 2026</w:t>
      </w:r>
      <w:r w:rsidR="00541A21" w:rsidRPr="00945D38">
        <w:rPr>
          <w:b/>
          <w:bCs/>
          <w:sz w:val="28"/>
          <w:szCs w:val="28"/>
        </w:rPr>
        <w:br/>
        <w:t>Jaarresultaten 2025</w:t>
      </w:r>
      <w:r w:rsidR="00541A21">
        <w:rPr>
          <w:b/>
          <w:bCs/>
        </w:rPr>
        <w:br/>
      </w:r>
      <w:r w:rsidR="00B07A01">
        <w:rPr>
          <w:b/>
          <w:bCs/>
        </w:rPr>
        <w:br/>
      </w:r>
      <w:r w:rsidR="00DD3EB7">
        <w:rPr>
          <w:b/>
          <w:bCs/>
          <w:sz w:val="28"/>
          <w:szCs w:val="28"/>
        </w:rPr>
        <w:t>Brouwerij Haacht</w:t>
      </w:r>
      <w:r w:rsidR="00F34ACC">
        <w:rPr>
          <w:b/>
          <w:bCs/>
          <w:sz w:val="28"/>
          <w:szCs w:val="28"/>
        </w:rPr>
        <w:t xml:space="preserve"> start met een sterk Q1</w:t>
      </w:r>
      <w:r w:rsidR="00F34ACC">
        <w:rPr>
          <w:b/>
          <w:bCs/>
          <w:sz w:val="28"/>
          <w:szCs w:val="28"/>
        </w:rPr>
        <w:br/>
      </w:r>
      <w:r w:rsidR="00E304EA" w:rsidRPr="00BD0F0A">
        <w:rPr>
          <w:b/>
          <w:bCs/>
          <w:sz w:val="22"/>
          <w:szCs w:val="22"/>
        </w:rPr>
        <w:br/>
      </w:r>
      <w:r w:rsidR="000C0B1E" w:rsidRPr="00BD0F0A">
        <w:rPr>
          <w:b/>
          <w:bCs/>
          <w:sz w:val="22"/>
          <w:szCs w:val="22"/>
        </w:rPr>
        <w:t>Boortmeerbeek, 21 april 2026</w:t>
      </w:r>
      <w:r w:rsidR="0004674A" w:rsidRPr="00BD0F0A">
        <w:rPr>
          <w:sz w:val="22"/>
          <w:szCs w:val="22"/>
        </w:rPr>
        <w:t xml:space="preserve"> </w:t>
      </w:r>
      <w:r w:rsidR="00D55BD7" w:rsidRPr="00BD0F0A">
        <w:rPr>
          <w:b/>
          <w:bCs/>
          <w:sz w:val="22"/>
          <w:szCs w:val="22"/>
        </w:rPr>
        <w:t>–</w:t>
      </w:r>
      <w:r w:rsidR="0004674A" w:rsidRPr="00BD0F0A">
        <w:rPr>
          <w:b/>
          <w:bCs/>
          <w:sz w:val="22"/>
          <w:szCs w:val="22"/>
        </w:rPr>
        <w:t xml:space="preserve"> </w:t>
      </w:r>
      <w:r w:rsidR="006226DE" w:rsidRPr="00BD0F0A">
        <w:rPr>
          <w:b/>
          <w:bCs/>
          <w:sz w:val="22"/>
          <w:szCs w:val="22"/>
        </w:rPr>
        <w:t>Het strategisch plan Horizon 2030</w:t>
      </w:r>
      <w:r w:rsidR="00A92013" w:rsidRPr="00BD0F0A">
        <w:rPr>
          <w:b/>
          <w:bCs/>
          <w:sz w:val="22"/>
          <w:szCs w:val="22"/>
        </w:rPr>
        <w:t xml:space="preserve"> levert meteen </w:t>
      </w:r>
      <w:r w:rsidR="003E641E">
        <w:rPr>
          <w:b/>
          <w:bCs/>
          <w:sz w:val="22"/>
          <w:szCs w:val="22"/>
        </w:rPr>
        <w:t>sterke</w:t>
      </w:r>
      <w:r w:rsidR="00A92013" w:rsidRPr="00BD0F0A">
        <w:rPr>
          <w:b/>
          <w:bCs/>
          <w:sz w:val="22"/>
          <w:szCs w:val="22"/>
        </w:rPr>
        <w:t xml:space="preserve"> resultaten op in het eerste kwartaal van 2026. Het Horizon 2030-plan werd </w:t>
      </w:r>
      <w:r w:rsidR="006226DE" w:rsidRPr="00BD0F0A">
        <w:rPr>
          <w:b/>
          <w:bCs/>
          <w:sz w:val="22"/>
          <w:szCs w:val="22"/>
        </w:rPr>
        <w:t>eind 2025 opgesteld onder impuls van de nieuwe CEO</w:t>
      </w:r>
      <w:r w:rsidR="00A92013" w:rsidRPr="00BD0F0A">
        <w:rPr>
          <w:b/>
          <w:bCs/>
          <w:sz w:val="22"/>
          <w:szCs w:val="22"/>
        </w:rPr>
        <w:t>,</w:t>
      </w:r>
      <w:r w:rsidR="006226DE" w:rsidRPr="00BD0F0A">
        <w:rPr>
          <w:b/>
          <w:bCs/>
          <w:sz w:val="22"/>
          <w:szCs w:val="22"/>
        </w:rPr>
        <w:t xml:space="preserve"> Nils van Dam</w:t>
      </w:r>
      <w:r w:rsidR="00A92013" w:rsidRPr="00BD0F0A">
        <w:rPr>
          <w:b/>
          <w:bCs/>
          <w:sz w:val="22"/>
          <w:szCs w:val="22"/>
        </w:rPr>
        <w:t>,</w:t>
      </w:r>
      <w:r w:rsidR="006226DE" w:rsidRPr="00BD0F0A">
        <w:rPr>
          <w:b/>
          <w:bCs/>
          <w:sz w:val="22"/>
          <w:szCs w:val="22"/>
        </w:rPr>
        <w:t xml:space="preserve"> </w:t>
      </w:r>
      <w:r w:rsidR="00A92013" w:rsidRPr="00BD0F0A">
        <w:rPr>
          <w:b/>
          <w:bCs/>
          <w:sz w:val="22"/>
          <w:szCs w:val="22"/>
        </w:rPr>
        <w:t xml:space="preserve">en werd unaniem </w:t>
      </w:r>
      <w:r w:rsidR="006226DE" w:rsidRPr="00BD0F0A">
        <w:rPr>
          <w:b/>
          <w:bCs/>
          <w:sz w:val="22"/>
          <w:szCs w:val="22"/>
        </w:rPr>
        <w:t xml:space="preserve">goedgekeurd </w:t>
      </w:r>
      <w:r w:rsidR="00A92013" w:rsidRPr="00BD0F0A">
        <w:rPr>
          <w:b/>
          <w:bCs/>
          <w:sz w:val="22"/>
          <w:szCs w:val="22"/>
        </w:rPr>
        <w:t xml:space="preserve">door de raad van bestuur. </w:t>
      </w:r>
      <w:r w:rsidR="009E3403">
        <w:rPr>
          <w:b/>
          <w:bCs/>
          <w:sz w:val="22"/>
          <w:szCs w:val="22"/>
        </w:rPr>
        <w:t>“</w:t>
      </w:r>
      <w:r w:rsidR="009552D9">
        <w:rPr>
          <w:b/>
          <w:bCs/>
          <w:sz w:val="22"/>
          <w:szCs w:val="22"/>
        </w:rPr>
        <w:t>Horizon</w:t>
      </w:r>
      <w:r w:rsidR="009E3403">
        <w:rPr>
          <w:b/>
          <w:bCs/>
          <w:sz w:val="22"/>
          <w:szCs w:val="22"/>
        </w:rPr>
        <w:t xml:space="preserve"> 2030” </w:t>
      </w:r>
      <w:r w:rsidR="00437BDE">
        <w:rPr>
          <w:b/>
          <w:bCs/>
          <w:sz w:val="22"/>
          <w:szCs w:val="22"/>
        </w:rPr>
        <w:t>staat voor een radicale versnelling van</w:t>
      </w:r>
      <w:r w:rsidR="00B509D2">
        <w:rPr>
          <w:b/>
          <w:bCs/>
          <w:sz w:val="22"/>
          <w:szCs w:val="22"/>
        </w:rPr>
        <w:t xml:space="preserve"> </w:t>
      </w:r>
      <w:r w:rsidR="009E3403">
        <w:rPr>
          <w:b/>
          <w:bCs/>
          <w:sz w:val="22"/>
          <w:szCs w:val="22"/>
        </w:rPr>
        <w:t>de strategische transformatie</w:t>
      </w:r>
      <w:r w:rsidR="006D3142">
        <w:rPr>
          <w:b/>
          <w:bCs/>
          <w:sz w:val="22"/>
          <w:szCs w:val="22"/>
        </w:rPr>
        <w:t xml:space="preserve">. </w:t>
      </w:r>
    </w:p>
    <w:p w14:paraId="5FDF9234" w14:textId="34636067" w:rsidR="00BD0F0A" w:rsidRPr="009E2ED9" w:rsidRDefault="003A3915" w:rsidP="007D3DC5">
      <w:pPr>
        <w:rPr>
          <w:b/>
          <w:bCs/>
          <w:sz w:val="22"/>
          <w:szCs w:val="22"/>
        </w:rPr>
      </w:pPr>
      <w:r w:rsidRPr="00AA3F89">
        <w:rPr>
          <w:sz w:val="22"/>
          <w:szCs w:val="22"/>
        </w:rPr>
        <w:t>Co.Br.Ha</w:t>
      </w:r>
      <w:r w:rsidR="00A93069" w:rsidRPr="00AA3F89">
        <w:rPr>
          <w:sz w:val="22"/>
          <w:szCs w:val="22"/>
        </w:rPr>
        <w:t>.</w:t>
      </w:r>
      <w:r w:rsidR="006D3142" w:rsidRPr="00AA3F89">
        <w:rPr>
          <w:sz w:val="22"/>
          <w:szCs w:val="22"/>
        </w:rPr>
        <w:t xml:space="preserve"> ziet </w:t>
      </w:r>
      <w:r w:rsidRPr="00AA3F89">
        <w:rPr>
          <w:sz w:val="22"/>
          <w:szCs w:val="22"/>
        </w:rPr>
        <w:t xml:space="preserve">een </w:t>
      </w:r>
      <w:r w:rsidR="006D3142" w:rsidRPr="00AA3F89">
        <w:rPr>
          <w:sz w:val="22"/>
          <w:szCs w:val="22"/>
        </w:rPr>
        <w:t xml:space="preserve">eerste indicatie van verbetering in </w:t>
      </w:r>
      <w:r w:rsidRPr="00AA3F89">
        <w:rPr>
          <w:sz w:val="22"/>
          <w:szCs w:val="22"/>
        </w:rPr>
        <w:t xml:space="preserve">de </w:t>
      </w:r>
      <w:r w:rsidR="006D3142" w:rsidRPr="00AA3F89">
        <w:rPr>
          <w:sz w:val="22"/>
          <w:szCs w:val="22"/>
        </w:rPr>
        <w:t>jaarresultaten 2025</w:t>
      </w:r>
      <w:r w:rsidR="00D80889" w:rsidRPr="00AA3F89">
        <w:rPr>
          <w:sz w:val="22"/>
          <w:szCs w:val="22"/>
        </w:rPr>
        <w:t>, die zich doorzet</w:t>
      </w:r>
      <w:r w:rsidR="001E7828" w:rsidRPr="00AA3F89">
        <w:rPr>
          <w:sz w:val="22"/>
          <w:szCs w:val="22"/>
        </w:rPr>
        <w:t xml:space="preserve"> in het eerste kwartaal van 2026.</w:t>
      </w:r>
      <w:r w:rsidR="00A70BDC" w:rsidRPr="00AA3F89">
        <w:rPr>
          <w:sz w:val="22"/>
          <w:szCs w:val="22"/>
        </w:rPr>
        <w:t xml:space="preserve"> De brouwerij beseft dat één zwaluw de lente nog niet maakt.</w:t>
      </w:r>
      <w:r w:rsidRPr="00AA3F89">
        <w:rPr>
          <w:sz w:val="22"/>
          <w:szCs w:val="22"/>
        </w:rPr>
        <w:br/>
      </w:r>
      <w:r w:rsidRPr="00AA3F89">
        <w:rPr>
          <w:sz w:val="22"/>
          <w:szCs w:val="22"/>
        </w:rPr>
        <w:br/>
      </w:r>
      <w:r w:rsidR="0014448B" w:rsidRPr="317A30FB">
        <w:rPr>
          <w:b/>
          <w:bCs/>
        </w:rPr>
        <w:t xml:space="preserve">1. </w:t>
      </w:r>
      <w:r w:rsidR="000B3B99" w:rsidRPr="317A30FB">
        <w:rPr>
          <w:b/>
          <w:bCs/>
        </w:rPr>
        <w:t>Eerste kwartaal 2026 toont een verbetering in de resultaten</w:t>
      </w:r>
      <w:r>
        <w:br/>
      </w:r>
      <w:r>
        <w:br/>
      </w:r>
      <w:r w:rsidR="00A92013" w:rsidRPr="00AE1DCA">
        <w:rPr>
          <w:sz w:val="22"/>
          <w:szCs w:val="22"/>
        </w:rPr>
        <w:t xml:space="preserve">Brouwerij Haacht </w:t>
      </w:r>
      <w:r w:rsidR="006C51A3" w:rsidRPr="00AE1DCA">
        <w:rPr>
          <w:sz w:val="22"/>
          <w:szCs w:val="22"/>
        </w:rPr>
        <w:t>realiseert</w:t>
      </w:r>
      <w:r w:rsidR="00A92013" w:rsidRPr="00AE1DCA">
        <w:rPr>
          <w:sz w:val="22"/>
          <w:szCs w:val="22"/>
        </w:rPr>
        <w:t xml:space="preserve"> in het eerste kwartaal van 2026 een </w:t>
      </w:r>
      <w:r w:rsidR="000B3B99" w:rsidRPr="00AE1DCA">
        <w:rPr>
          <w:sz w:val="22"/>
          <w:szCs w:val="22"/>
        </w:rPr>
        <w:t xml:space="preserve">volumegroei in bier en </w:t>
      </w:r>
      <w:r w:rsidR="005A3D00" w:rsidRPr="00AE1DCA">
        <w:rPr>
          <w:sz w:val="22"/>
          <w:szCs w:val="22"/>
        </w:rPr>
        <w:t xml:space="preserve">frisdrank </w:t>
      </w:r>
      <w:r w:rsidR="000B3B99" w:rsidRPr="00AE1DCA">
        <w:rPr>
          <w:sz w:val="22"/>
          <w:szCs w:val="22"/>
        </w:rPr>
        <w:t xml:space="preserve">van </w:t>
      </w:r>
      <w:r w:rsidR="00403E9B" w:rsidRPr="00AE1DCA">
        <w:rPr>
          <w:sz w:val="22"/>
          <w:szCs w:val="22"/>
        </w:rPr>
        <w:t>0,2</w:t>
      </w:r>
      <w:r w:rsidR="000B3B99" w:rsidRPr="00AE1DCA">
        <w:rPr>
          <w:sz w:val="22"/>
          <w:szCs w:val="22"/>
        </w:rPr>
        <w:t xml:space="preserve">% tegenover dezelfde periode in 2025. </w:t>
      </w:r>
      <w:r w:rsidR="007A3F9F" w:rsidRPr="00AE1DCA">
        <w:rPr>
          <w:sz w:val="22"/>
          <w:szCs w:val="22"/>
        </w:rPr>
        <w:t>De</w:t>
      </w:r>
      <w:r w:rsidR="000B3B99" w:rsidRPr="00AE1DCA">
        <w:rPr>
          <w:sz w:val="22"/>
          <w:szCs w:val="22"/>
        </w:rPr>
        <w:t xml:space="preserve"> brouwerij doet </w:t>
      </w:r>
      <w:r w:rsidR="007A3F9F" w:rsidRPr="00AE1DCA">
        <w:rPr>
          <w:sz w:val="22"/>
          <w:szCs w:val="22"/>
        </w:rPr>
        <w:t xml:space="preserve">dit </w:t>
      </w:r>
      <w:r w:rsidR="000B3B99" w:rsidRPr="00AE1DCA">
        <w:rPr>
          <w:sz w:val="22"/>
          <w:szCs w:val="22"/>
        </w:rPr>
        <w:t>in een biermarkt die met 3</w:t>
      </w:r>
      <w:r w:rsidR="007E6E7B" w:rsidRPr="00AE1DCA">
        <w:rPr>
          <w:sz w:val="22"/>
          <w:szCs w:val="22"/>
        </w:rPr>
        <w:t xml:space="preserve"> tot 4</w:t>
      </w:r>
      <w:r w:rsidR="000B3B99" w:rsidRPr="00AE1DCA">
        <w:rPr>
          <w:sz w:val="22"/>
          <w:szCs w:val="22"/>
        </w:rPr>
        <w:t>% krimpt</w:t>
      </w:r>
      <w:r w:rsidR="00647AF4" w:rsidRPr="00AE1DCA">
        <w:rPr>
          <w:sz w:val="22"/>
          <w:szCs w:val="22"/>
        </w:rPr>
        <w:t xml:space="preserve"> in de</w:t>
      </w:r>
      <w:r w:rsidR="007A3F9F" w:rsidRPr="00AE1DCA">
        <w:rPr>
          <w:sz w:val="22"/>
          <w:szCs w:val="22"/>
        </w:rPr>
        <w:t xml:space="preserve"> kernmarkten België, Frankrijk en Nederland</w:t>
      </w:r>
      <w:r w:rsidR="000B3B99" w:rsidRPr="00AE1DCA">
        <w:rPr>
          <w:sz w:val="22"/>
          <w:szCs w:val="22"/>
        </w:rPr>
        <w:t xml:space="preserve">. De omzet steeg met </w:t>
      </w:r>
      <w:r w:rsidR="001E43FF" w:rsidRPr="00AE1DCA">
        <w:rPr>
          <w:sz w:val="22"/>
          <w:szCs w:val="22"/>
        </w:rPr>
        <w:t>1,0</w:t>
      </w:r>
      <w:r w:rsidR="000B3B99" w:rsidRPr="00AE1DCA">
        <w:rPr>
          <w:sz w:val="22"/>
          <w:szCs w:val="22"/>
        </w:rPr>
        <w:t xml:space="preserve">% ten opzichte van het eerste kwartaal van 2025. De REBITDA bedraagt </w:t>
      </w:r>
      <w:r w:rsidR="001E43FF" w:rsidRPr="00AE1DCA">
        <w:rPr>
          <w:sz w:val="22"/>
          <w:szCs w:val="22"/>
        </w:rPr>
        <w:t>2,0</w:t>
      </w:r>
      <w:r w:rsidR="000B3B99" w:rsidRPr="00AE1DCA">
        <w:rPr>
          <w:sz w:val="22"/>
          <w:szCs w:val="22"/>
        </w:rPr>
        <w:t xml:space="preserve"> miljoen euro, een stijging</w:t>
      </w:r>
      <w:r w:rsidR="000B3B99" w:rsidRPr="317A30FB">
        <w:rPr>
          <w:sz w:val="22"/>
          <w:szCs w:val="22"/>
        </w:rPr>
        <w:t xml:space="preserve"> van 900.000 euro in vergelijking met dezelfde periode in 2025. De EBIT beloopt</w:t>
      </w:r>
      <w:r w:rsidR="289878E5" w:rsidRPr="317A30FB">
        <w:rPr>
          <w:sz w:val="22"/>
          <w:szCs w:val="22"/>
        </w:rPr>
        <w:t xml:space="preserve"> –2,0</w:t>
      </w:r>
      <w:r w:rsidR="006C51A3" w:rsidRPr="317A30FB">
        <w:rPr>
          <w:sz w:val="22"/>
          <w:szCs w:val="22"/>
        </w:rPr>
        <w:t xml:space="preserve"> miljoen euro</w:t>
      </w:r>
      <w:r w:rsidR="001E43FF" w:rsidRPr="317A30FB">
        <w:rPr>
          <w:sz w:val="22"/>
          <w:szCs w:val="22"/>
        </w:rPr>
        <w:t xml:space="preserve">. </w:t>
      </w:r>
      <w:r w:rsidR="009E2ED9">
        <w:rPr>
          <w:sz w:val="22"/>
          <w:szCs w:val="22"/>
        </w:rPr>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1559"/>
        <w:gridCol w:w="1560"/>
        <w:gridCol w:w="2268"/>
      </w:tblGrid>
      <w:tr w:rsidR="00BD0F0A" w:rsidRPr="00BD0F0A" w14:paraId="2898E5D6" w14:textId="77777777" w:rsidTr="317A30FB">
        <w:trPr>
          <w:tblHeader/>
          <w:tblCellSpacing w:w="15" w:type="dxa"/>
          <w:jc w:val="center"/>
        </w:trPr>
        <w:tc>
          <w:tcPr>
            <w:tcW w:w="3494" w:type="dxa"/>
            <w:vAlign w:val="center"/>
            <w:hideMark/>
          </w:tcPr>
          <w:p w14:paraId="1EF8BB9F" w14:textId="77777777"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Kerncijfer</w:t>
            </w:r>
          </w:p>
        </w:tc>
        <w:tc>
          <w:tcPr>
            <w:tcW w:w="1529" w:type="dxa"/>
            <w:vAlign w:val="center"/>
            <w:hideMark/>
          </w:tcPr>
          <w:p w14:paraId="4742775C" w14:textId="61F48148"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Q1 2026</w:t>
            </w:r>
          </w:p>
        </w:tc>
        <w:tc>
          <w:tcPr>
            <w:tcW w:w="1530" w:type="dxa"/>
            <w:vAlign w:val="center"/>
            <w:hideMark/>
          </w:tcPr>
          <w:p w14:paraId="5BE9F1E4" w14:textId="7FACB865"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Q1 2025</w:t>
            </w:r>
          </w:p>
        </w:tc>
        <w:tc>
          <w:tcPr>
            <w:tcW w:w="2223" w:type="dxa"/>
            <w:vAlign w:val="center"/>
            <w:hideMark/>
          </w:tcPr>
          <w:p w14:paraId="38F1A021" w14:textId="77777777"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Evolutie</w:t>
            </w:r>
          </w:p>
        </w:tc>
      </w:tr>
      <w:tr w:rsidR="00BD0F0A" w:rsidRPr="00BD0F0A" w14:paraId="3E410FC1" w14:textId="77777777" w:rsidTr="317A30FB">
        <w:trPr>
          <w:tblCellSpacing w:w="15" w:type="dxa"/>
          <w:jc w:val="center"/>
        </w:trPr>
        <w:tc>
          <w:tcPr>
            <w:tcW w:w="3494" w:type="dxa"/>
            <w:vAlign w:val="center"/>
            <w:hideMark/>
          </w:tcPr>
          <w:p w14:paraId="0CB60009" w14:textId="77777777"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Omzet</w:t>
            </w:r>
          </w:p>
        </w:tc>
        <w:tc>
          <w:tcPr>
            <w:tcW w:w="1529" w:type="dxa"/>
            <w:vAlign w:val="center"/>
            <w:hideMark/>
          </w:tcPr>
          <w:p w14:paraId="3D2C2313" w14:textId="64CDFD41"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24,3</w:t>
            </w:r>
            <w:r w:rsidRPr="00AE1DCA">
              <w:rPr>
                <w:rFonts w:ascii="Aptos" w:eastAsia="Arial" w:hAnsi="Aptos" w:cs="Arial"/>
                <w:kern w:val="0"/>
                <w:sz w:val="22"/>
                <w:szCs w:val="22"/>
                <w:lang w:val="nl-NL"/>
                <w14:ligatures w14:val="none"/>
              </w:rPr>
              <w:t xml:space="preserve"> mln</w:t>
            </w:r>
          </w:p>
        </w:tc>
        <w:tc>
          <w:tcPr>
            <w:tcW w:w="1530" w:type="dxa"/>
            <w:vAlign w:val="center"/>
            <w:hideMark/>
          </w:tcPr>
          <w:p w14:paraId="614A6685" w14:textId="19B0D848"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24,0</w:t>
            </w:r>
            <w:r w:rsidRPr="00AE1DCA">
              <w:rPr>
                <w:rFonts w:ascii="Aptos" w:eastAsia="Arial" w:hAnsi="Aptos" w:cs="Arial"/>
                <w:kern w:val="0"/>
                <w:sz w:val="22"/>
                <w:szCs w:val="22"/>
                <w:lang w:val="nl-NL"/>
                <w14:ligatures w14:val="none"/>
              </w:rPr>
              <w:t xml:space="preserve"> mln</w:t>
            </w:r>
          </w:p>
        </w:tc>
        <w:tc>
          <w:tcPr>
            <w:tcW w:w="2223" w:type="dxa"/>
            <w:vAlign w:val="center"/>
            <w:hideMark/>
          </w:tcPr>
          <w:p w14:paraId="7E4BD541" w14:textId="18AA8F5C" w:rsidR="00BD0F0A" w:rsidRPr="00AE1DCA" w:rsidRDefault="001E43FF"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+1,0</w:t>
            </w:r>
            <w:r w:rsidR="00BD0F0A" w:rsidRPr="00AE1DCA">
              <w:rPr>
                <w:rFonts w:ascii="Aptos" w:eastAsia="Arial" w:hAnsi="Aptos" w:cs="Arial"/>
                <w:kern w:val="0"/>
                <w:sz w:val="22"/>
                <w:szCs w:val="22"/>
                <w:lang w:val="nl-NL"/>
                <w14:ligatures w14:val="none"/>
              </w:rPr>
              <w:t>%</w:t>
            </w:r>
          </w:p>
        </w:tc>
      </w:tr>
      <w:tr w:rsidR="00BD0F0A" w:rsidRPr="00BD0F0A" w14:paraId="0A4C1F0A" w14:textId="77777777" w:rsidTr="317A30FB">
        <w:trPr>
          <w:tblCellSpacing w:w="15" w:type="dxa"/>
          <w:jc w:val="center"/>
        </w:trPr>
        <w:tc>
          <w:tcPr>
            <w:tcW w:w="3494" w:type="dxa"/>
            <w:vAlign w:val="center"/>
            <w:hideMark/>
          </w:tcPr>
          <w:p w14:paraId="610643BE" w14:textId="6FA62867" w:rsidR="00BD0F0A" w:rsidRPr="00AE1DCA" w:rsidRDefault="00BD0F0A"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REBITDA</w:t>
            </w:r>
            <w:r w:rsidR="001E43FF" w:rsidRPr="00AE1DCA">
              <w:rPr>
                <w:rFonts w:ascii="Aptos" w:eastAsia="Arial" w:hAnsi="Aptos" w:cs="Arial"/>
                <w:b/>
                <w:bCs/>
                <w:kern w:val="0"/>
                <w:sz w:val="22"/>
                <w:szCs w:val="22"/>
                <w:lang w:val="nl-NL"/>
                <w14:ligatures w14:val="none"/>
              </w:rPr>
              <w:t xml:space="preserve"> </w:t>
            </w:r>
          </w:p>
        </w:tc>
        <w:tc>
          <w:tcPr>
            <w:tcW w:w="1529" w:type="dxa"/>
            <w:vAlign w:val="center"/>
            <w:hideMark/>
          </w:tcPr>
          <w:p w14:paraId="4861A7B0" w14:textId="3A503017"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2</w:t>
            </w: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0</w:t>
            </w:r>
            <w:r w:rsidRPr="00AE1DCA">
              <w:rPr>
                <w:rFonts w:ascii="Aptos" w:eastAsia="Arial" w:hAnsi="Aptos" w:cs="Arial"/>
                <w:kern w:val="0"/>
                <w:sz w:val="22"/>
                <w:szCs w:val="22"/>
                <w:lang w:val="nl-NL"/>
                <w14:ligatures w14:val="none"/>
              </w:rPr>
              <w:t xml:space="preserve"> mln</w:t>
            </w:r>
          </w:p>
        </w:tc>
        <w:tc>
          <w:tcPr>
            <w:tcW w:w="1530" w:type="dxa"/>
            <w:vAlign w:val="center"/>
            <w:hideMark/>
          </w:tcPr>
          <w:p w14:paraId="656AF8B5" w14:textId="52320E02"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1,1</w:t>
            </w:r>
            <w:r w:rsidRPr="00AE1DCA">
              <w:rPr>
                <w:rFonts w:ascii="Aptos" w:eastAsia="Arial" w:hAnsi="Aptos" w:cs="Arial"/>
                <w:kern w:val="0"/>
                <w:sz w:val="22"/>
                <w:szCs w:val="22"/>
                <w:lang w:val="nl-NL"/>
                <w14:ligatures w14:val="none"/>
              </w:rPr>
              <w:t xml:space="preserve"> mln</w:t>
            </w:r>
          </w:p>
        </w:tc>
        <w:tc>
          <w:tcPr>
            <w:tcW w:w="2223" w:type="dxa"/>
            <w:vAlign w:val="center"/>
            <w:hideMark/>
          </w:tcPr>
          <w:p w14:paraId="53D41590" w14:textId="5B61848A"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81,3</w:t>
            </w:r>
            <w:r w:rsidRPr="00AE1DCA">
              <w:rPr>
                <w:rFonts w:ascii="Aptos" w:eastAsia="Arial" w:hAnsi="Aptos" w:cs="Arial"/>
                <w:kern w:val="0"/>
                <w:sz w:val="22"/>
                <w:szCs w:val="22"/>
                <w:lang w:val="nl-NL"/>
                <w14:ligatures w14:val="none"/>
              </w:rPr>
              <w:t>%</w:t>
            </w:r>
          </w:p>
        </w:tc>
      </w:tr>
      <w:tr w:rsidR="00BD0F0A" w:rsidRPr="00BD0F0A" w14:paraId="69180847" w14:textId="77777777" w:rsidTr="317A30FB">
        <w:trPr>
          <w:tblCellSpacing w:w="15" w:type="dxa"/>
          <w:jc w:val="center"/>
        </w:trPr>
        <w:tc>
          <w:tcPr>
            <w:tcW w:w="3494" w:type="dxa"/>
            <w:vAlign w:val="center"/>
            <w:hideMark/>
          </w:tcPr>
          <w:p w14:paraId="254F816D" w14:textId="650A537C" w:rsidR="00BD0F0A" w:rsidRPr="00AE1DCA" w:rsidRDefault="004A0F83" w:rsidP="00BD0F0A">
            <w:pPr>
              <w:spacing w:after="0" w:line="240" w:lineRule="auto"/>
              <w:jc w:val="center"/>
              <w:rPr>
                <w:rFonts w:ascii="Aptos" w:eastAsia="Arial" w:hAnsi="Aptos" w:cs="Arial"/>
                <w:b/>
                <w:bCs/>
                <w:kern w:val="0"/>
                <w:sz w:val="22"/>
                <w:szCs w:val="22"/>
                <w:lang w:val="nl-NL"/>
                <w14:ligatures w14:val="none"/>
              </w:rPr>
            </w:pPr>
            <w:r w:rsidRPr="00AE1DCA">
              <w:rPr>
                <w:rFonts w:ascii="Aptos" w:eastAsia="Arial" w:hAnsi="Aptos" w:cs="Arial"/>
                <w:b/>
                <w:bCs/>
                <w:kern w:val="0"/>
                <w:sz w:val="22"/>
                <w:szCs w:val="22"/>
                <w:lang w:val="nl-NL"/>
                <w14:ligatures w14:val="none"/>
              </w:rPr>
              <w:t>EBIT</w:t>
            </w:r>
          </w:p>
        </w:tc>
        <w:tc>
          <w:tcPr>
            <w:tcW w:w="1529" w:type="dxa"/>
            <w:vAlign w:val="center"/>
            <w:hideMark/>
          </w:tcPr>
          <w:p w14:paraId="7624EE50" w14:textId="290FB320" w:rsidR="00BD0F0A" w:rsidRPr="00AE1DCA" w:rsidRDefault="001E43FF"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BD0F0A" w:rsidRPr="00AE1DCA">
              <w:rPr>
                <w:rFonts w:ascii="Aptos" w:eastAsia="Arial" w:hAnsi="Aptos" w:cs="Arial"/>
                <w:kern w:val="0"/>
                <w:sz w:val="22"/>
                <w:szCs w:val="22"/>
                <w:lang w:val="nl-NL"/>
                <w14:ligatures w14:val="none"/>
              </w:rPr>
              <w:t>€</w:t>
            </w:r>
            <w:r w:rsidR="167DCDC9" w:rsidRPr="00AE1DCA">
              <w:rPr>
                <w:rFonts w:ascii="Aptos" w:eastAsia="Arial" w:hAnsi="Aptos" w:cs="Arial"/>
                <w:kern w:val="0"/>
                <w:sz w:val="22"/>
                <w:szCs w:val="22"/>
                <w:lang w:val="nl-NL"/>
                <w14:ligatures w14:val="none"/>
              </w:rPr>
              <w:t>2</w:t>
            </w:r>
            <w:r w:rsidRPr="00AE1DCA">
              <w:rPr>
                <w:rFonts w:ascii="Aptos" w:eastAsia="Arial" w:hAnsi="Aptos" w:cs="Arial"/>
                <w:sz w:val="22"/>
                <w:szCs w:val="22"/>
                <w:lang w:val="nl-NL"/>
              </w:rPr>
              <w:t>,</w:t>
            </w:r>
            <w:r w:rsidR="30CD2A35" w:rsidRPr="00AE1DCA">
              <w:rPr>
                <w:rFonts w:ascii="Aptos" w:eastAsia="Arial" w:hAnsi="Aptos" w:cs="Arial"/>
                <w:sz w:val="22"/>
                <w:szCs w:val="22"/>
                <w:lang w:val="nl-NL"/>
              </w:rPr>
              <w:t>0</w:t>
            </w:r>
            <w:r w:rsidR="00BD0F0A" w:rsidRPr="00AE1DCA">
              <w:rPr>
                <w:rFonts w:ascii="Aptos" w:eastAsia="Arial" w:hAnsi="Aptos" w:cs="Arial"/>
                <w:sz w:val="22"/>
                <w:szCs w:val="22"/>
                <w:lang w:val="nl-NL"/>
              </w:rPr>
              <w:t xml:space="preserve"> mln</w:t>
            </w:r>
          </w:p>
        </w:tc>
        <w:tc>
          <w:tcPr>
            <w:tcW w:w="1530" w:type="dxa"/>
            <w:vAlign w:val="center"/>
            <w:hideMark/>
          </w:tcPr>
          <w:p w14:paraId="01D76A5A" w14:textId="2ABAA1D0"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2,1</w:t>
            </w:r>
            <w:r w:rsidRPr="00AE1DCA">
              <w:rPr>
                <w:rFonts w:ascii="Aptos" w:eastAsia="Arial" w:hAnsi="Aptos" w:cs="Arial"/>
                <w:sz w:val="22"/>
                <w:szCs w:val="22"/>
                <w:lang w:val="nl-NL"/>
              </w:rPr>
              <w:t xml:space="preserve"> mln</w:t>
            </w:r>
          </w:p>
        </w:tc>
        <w:tc>
          <w:tcPr>
            <w:tcW w:w="2223" w:type="dxa"/>
            <w:vAlign w:val="center"/>
            <w:hideMark/>
          </w:tcPr>
          <w:p w14:paraId="4017B8C4" w14:textId="48C9F16A" w:rsidR="00BD0F0A" w:rsidRPr="00AE1DCA" w:rsidRDefault="00BD0F0A" w:rsidP="00BD0F0A">
            <w:pPr>
              <w:spacing w:after="0" w:line="240" w:lineRule="auto"/>
              <w:jc w:val="center"/>
              <w:rPr>
                <w:rFonts w:ascii="Aptos" w:eastAsia="Arial" w:hAnsi="Aptos" w:cs="Arial"/>
                <w:kern w:val="0"/>
                <w:sz w:val="22"/>
                <w:szCs w:val="22"/>
                <w:lang w:val="nl-NL"/>
                <w14:ligatures w14:val="none"/>
              </w:rPr>
            </w:pPr>
            <w:r w:rsidRPr="00AE1DCA">
              <w:rPr>
                <w:rFonts w:ascii="Aptos" w:eastAsia="Arial" w:hAnsi="Aptos" w:cs="Arial"/>
                <w:kern w:val="0"/>
                <w:sz w:val="22"/>
                <w:szCs w:val="22"/>
                <w:lang w:val="nl-NL"/>
                <w14:ligatures w14:val="none"/>
              </w:rPr>
              <w:t>+€</w:t>
            </w:r>
            <w:r w:rsidR="001E43FF" w:rsidRPr="00AE1DCA">
              <w:rPr>
                <w:rFonts w:ascii="Aptos" w:eastAsia="Arial" w:hAnsi="Aptos" w:cs="Arial"/>
                <w:kern w:val="0"/>
                <w:sz w:val="22"/>
                <w:szCs w:val="22"/>
                <w:lang w:val="nl-NL"/>
                <w14:ligatures w14:val="none"/>
              </w:rPr>
              <w:t>0,1</w:t>
            </w:r>
            <w:r w:rsidRPr="00AE1DCA">
              <w:rPr>
                <w:rFonts w:ascii="Aptos" w:eastAsia="Arial" w:hAnsi="Aptos" w:cs="Arial"/>
                <w:sz w:val="22"/>
                <w:szCs w:val="22"/>
                <w:lang w:val="nl-NL"/>
              </w:rPr>
              <w:t xml:space="preserve"> mln</w:t>
            </w:r>
          </w:p>
        </w:tc>
      </w:tr>
    </w:tbl>
    <w:p w14:paraId="18C6A048" w14:textId="0A8034D1" w:rsidR="001E43FF" w:rsidRDefault="001E43FF" w:rsidP="00CA659A">
      <w:pPr>
        <w:rPr>
          <w:sz w:val="22"/>
          <w:szCs w:val="22"/>
        </w:rPr>
      </w:pPr>
      <w:r w:rsidRPr="001E43FF">
        <w:rPr>
          <w:sz w:val="18"/>
          <w:szCs w:val="18"/>
        </w:rPr>
        <w:t>(</w:t>
      </w:r>
      <w:proofErr w:type="gramStart"/>
      <w:r w:rsidRPr="001E43FF">
        <w:rPr>
          <w:sz w:val="18"/>
          <w:szCs w:val="18"/>
        </w:rPr>
        <w:t>niet</w:t>
      </w:r>
      <w:proofErr w:type="gramEnd"/>
      <w:r w:rsidRPr="001E43FF">
        <w:rPr>
          <w:sz w:val="18"/>
          <w:szCs w:val="18"/>
        </w:rPr>
        <w:t xml:space="preserve">-geauditeerde cijfers – bridge tussen REBITDA en EBIT is onderaan </w:t>
      </w:r>
      <w:r w:rsidR="00403E9B">
        <w:rPr>
          <w:sz w:val="18"/>
          <w:szCs w:val="18"/>
        </w:rPr>
        <w:t xml:space="preserve">in </w:t>
      </w:r>
      <w:r w:rsidRPr="001E43FF">
        <w:rPr>
          <w:sz w:val="18"/>
          <w:szCs w:val="18"/>
        </w:rPr>
        <w:t>persbericht weergegeven)</w:t>
      </w:r>
      <w:r w:rsidR="009E2ED9">
        <w:rPr>
          <w:sz w:val="18"/>
          <w:szCs w:val="18"/>
        </w:rPr>
        <w:br/>
      </w:r>
      <w:r w:rsidR="009E2ED9">
        <w:rPr>
          <w:sz w:val="22"/>
          <w:szCs w:val="22"/>
        </w:rPr>
        <w:br/>
      </w:r>
      <w:r w:rsidR="00BD0F0A" w:rsidRPr="00F8356C">
        <w:rPr>
          <w:sz w:val="22"/>
          <w:szCs w:val="22"/>
        </w:rPr>
        <w:t xml:space="preserve">Deze resultaten </w:t>
      </w:r>
      <w:r w:rsidR="00BD0F0A" w:rsidRPr="00CE79EF">
        <w:rPr>
          <w:sz w:val="22"/>
          <w:szCs w:val="22"/>
        </w:rPr>
        <w:t xml:space="preserve">zijn het gevolg van een doorgedreven focus op topline-groei en kostenbesparingen. Belangrijke projecten zoals de nieuwe tarificatie voor Horeca België en </w:t>
      </w:r>
      <w:r w:rsidR="007A3F9F" w:rsidRPr="00CE79EF">
        <w:rPr>
          <w:sz w:val="22"/>
          <w:szCs w:val="22"/>
        </w:rPr>
        <w:t xml:space="preserve">de rationalisering van het productgamma </w:t>
      </w:r>
      <w:r w:rsidR="00192115" w:rsidRPr="00CE79EF">
        <w:rPr>
          <w:sz w:val="22"/>
          <w:szCs w:val="22"/>
        </w:rPr>
        <w:t>zijn bijna afgewerkt</w:t>
      </w:r>
      <w:r w:rsidR="00BD0F0A" w:rsidRPr="00CE79EF">
        <w:rPr>
          <w:sz w:val="22"/>
          <w:szCs w:val="22"/>
        </w:rPr>
        <w:t xml:space="preserve">. De herlancering van Primus </w:t>
      </w:r>
      <w:r w:rsidR="007A3F9F" w:rsidRPr="00CE79EF">
        <w:rPr>
          <w:sz w:val="22"/>
          <w:szCs w:val="22"/>
        </w:rPr>
        <w:t>kende een sterk begin</w:t>
      </w:r>
      <w:r w:rsidR="00BD0F0A" w:rsidRPr="00CE79EF">
        <w:rPr>
          <w:sz w:val="22"/>
          <w:szCs w:val="22"/>
        </w:rPr>
        <w:t xml:space="preserve">. </w:t>
      </w:r>
      <w:r w:rsidR="00F13C64" w:rsidRPr="00CE79EF">
        <w:rPr>
          <w:sz w:val="22"/>
          <w:szCs w:val="22"/>
        </w:rPr>
        <w:t>In de loop van het eerste kwartaal werd een partnership aangegaan met Marché Saint Gery in Brussel. Brouwerij Haacht zet hiermee haar pad van duurzame samenwerkingen</w:t>
      </w:r>
      <w:r w:rsidR="00F13C64">
        <w:rPr>
          <w:sz w:val="22"/>
          <w:szCs w:val="22"/>
        </w:rPr>
        <w:t xml:space="preserve"> met belangrijke lokale partners uit de cultuursector verder.  </w:t>
      </w:r>
    </w:p>
    <w:p w14:paraId="0E3BAF3B" w14:textId="6DAD9732" w:rsidR="001E43FF" w:rsidRDefault="00966ED0" w:rsidP="00CA659A">
      <w:pPr>
        <w:rPr>
          <w:sz w:val="22"/>
          <w:szCs w:val="22"/>
        </w:rPr>
      </w:pPr>
      <w:r>
        <w:rPr>
          <w:sz w:val="22"/>
          <w:szCs w:val="22"/>
        </w:rPr>
        <w:br/>
      </w:r>
      <w:r>
        <w:rPr>
          <w:sz w:val="22"/>
          <w:szCs w:val="22"/>
        </w:rPr>
        <w:br/>
      </w:r>
    </w:p>
    <w:p w14:paraId="67DCA15D" w14:textId="77777777" w:rsidR="00966ED0" w:rsidRDefault="00966ED0" w:rsidP="00CA659A">
      <w:pPr>
        <w:rPr>
          <w:sz w:val="22"/>
          <w:szCs w:val="22"/>
        </w:rPr>
      </w:pPr>
    </w:p>
    <w:p w14:paraId="6610812C" w14:textId="575DFEE4" w:rsidR="003E7861" w:rsidRPr="00240D64" w:rsidRDefault="0014448B" w:rsidP="00CA659A">
      <w:pPr>
        <w:rPr>
          <w:sz w:val="22"/>
          <w:szCs w:val="22"/>
        </w:rPr>
      </w:pPr>
      <w:r w:rsidRPr="317A30FB">
        <w:rPr>
          <w:b/>
          <w:bCs/>
        </w:rPr>
        <w:t xml:space="preserve">2. </w:t>
      </w:r>
      <w:r w:rsidR="00F17CA8" w:rsidRPr="317A30FB">
        <w:rPr>
          <w:b/>
          <w:bCs/>
        </w:rPr>
        <w:t>E</w:t>
      </w:r>
      <w:r w:rsidR="00F17CA8" w:rsidRPr="317A30FB">
        <w:rPr>
          <w:b/>
          <w:bCs/>
          <w:lang w:val="nl-NL"/>
        </w:rPr>
        <w:t xml:space="preserve">erste acties binnen Horizon 2030-plan al meteen in </w:t>
      </w:r>
      <w:r w:rsidR="00B030D1" w:rsidRPr="317A30FB">
        <w:rPr>
          <w:b/>
          <w:bCs/>
          <w:lang w:val="nl-NL"/>
        </w:rPr>
        <w:t>november/</w:t>
      </w:r>
      <w:r w:rsidR="00F17CA8" w:rsidRPr="317A30FB">
        <w:rPr>
          <w:b/>
          <w:bCs/>
          <w:lang w:val="nl-NL"/>
        </w:rPr>
        <w:t>december 2025 ondernomen</w:t>
      </w:r>
      <w:r>
        <w:br/>
      </w:r>
      <w:r>
        <w:br/>
      </w:r>
      <w:r w:rsidR="00F17CA8" w:rsidRPr="317A30FB">
        <w:rPr>
          <w:sz w:val="22"/>
          <w:szCs w:val="22"/>
          <w:lang w:val="nl-NL"/>
        </w:rPr>
        <w:t xml:space="preserve">De groep besliste toen om de activiteiten van de wijnverkoop te vereenvoudigen en de activiteiten voor de verkoop van koffie uit te besteden met uitvoering in 2026, om zich meer te richten op haar kernactiviteiten. </w:t>
      </w:r>
      <w:r>
        <w:br/>
      </w:r>
      <w:r>
        <w:br/>
      </w:r>
      <w:r w:rsidR="00F17CA8" w:rsidRPr="317A30FB">
        <w:rPr>
          <w:sz w:val="22"/>
          <w:szCs w:val="22"/>
          <w:lang w:val="nl-NL"/>
        </w:rPr>
        <w:t>Verder werd het beheer van de real estate-activiteiten ondergebracht bij de groep Co.Br.Ha. om met verhoogde focus de real estate-waardecreatie te versnellen, terwijl de synergiën met de brouwerij maximaal benut blijven. Niet-strategische panden worden versneld verkocht. </w:t>
      </w:r>
      <w:r>
        <w:br/>
      </w:r>
      <w:r>
        <w:br/>
      </w:r>
      <w:r w:rsidR="006031B2" w:rsidRPr="317A30FB">
        <w:rPr>
          <w:sz w:val="22"/>
          <w:szCs w:val="22"/>
          <w:lang w:val="nl-NL"/>
        </w:rPr>
        <w:t xml:space="preserve">Een drastische vereenvoudigingsoefening </w:t>
      </w:r>
      <w:r w:rsidR="00F17CA8" w:rsidRPr="317A30FB">
        <w:rPr>
          <w:sz w:val="22"/>
          <w:szCs w:val="22"/>
          <w:lang w:val="nl-NL"/>
        </w:rPr>
        <w:t xml:space="preserve">leidde tot rationalisering van </w:t>
      </w:r>
      <w:r w:rsidR="006031B2" w:rsidRPr="317A30FB">
        <w:rPr>
          <w:sz w:val="22"/>
          <w:szCs w:val="22"/>
          <w:lang w:val="nl-NL"/>
        </w:rPr>
        <w:t>het assortiment</w:t>
      </w:r>
      <w:r w:rsidR="00F17CA8" w:rsidRPr="317A30FB">
        <w:rPr>
          <w:sz w:val="22"/>
          <w:szCs w:val="22"/>
          <w:lang w:val="nl-NL"/>
        </w:rPr>
        <w:t>, wat </w:t>
      </w:r>
      <w:r w:rsidR="006031B2" w:rsidRPr="317A30FB">
        <w:rPr>
          <w:sz w:val="22"/>
          <w:szCs w:val="22"/>
          <w:lang w:val="nl-NL"/>
        </w:rPr>
        <w:t>geresulteerd heeft in</w:t>
      </w:r>
      <w:r w:rsidR="00F17CA8" w:rsidRPr="317A30FB">
        <w:rPr>
          <w:sz w:val="22"/>
          <w:szCs w:val="22"/>
          <w:lang w:val="nl-NL"/>
        </w:rPr>
        <w:t xml:space="preserve"> uitzonderlijke voorraadcorrecties maar tegelijk de basis biedt voor </w:t>
      </w:r>
      <w:r w:rsidR="00445D2F" w:rsidRPr="317A30FB">
        <w:rPr>
          <w:sz w:val="22"/>
          <w:szCs w:val="22"/>
          <w:lang w:val="nl-NL"/>
        </w:rPr>
        <w:t xml:space="preserve">de focus </w:t>
      </w:r>
      <w:r w:rsidR="4FCB568C" w:rsidRPr="317A30FB">
        <w:rPr>
          <w:sz w:val="22"/>
          <w:szCs w:val="22"/>
          <w:lang w:val="nl-NL"/>
        </w:rPr>
        <w:t xml:space="preserve">op de belangrijkste producten </w:t>
      </w:r>
      <w:r w:rsidR="00445D2F" w:rsidRPr="317A30FB">
        <w:rPr>
          <w:sz w:val="22"/>
          <w:szCs w:val="22"/>
          <w:lang w:val="nl-NL"/>
        </w:rPr>
        <w:t xml:space="preserve">en de </w:t>
      </w:r>
      <w:r w:rsidR="00F17CA8" w:rsidRPr="317A30FB">
        <w:rPr>
          <w:sz w:val="22"/>
          <w:szCs w:val="22"/>
          <w:lang w:val="nl-NL"/>
        </w:rPr>
        <w:t xml:space="preserve">optimalisering van de logistieke activiteiten </w:t>
      </w:r>
      <w:r w:rsidR="00E7430C" w:rsidRPr="317A30FB">
        <w:rPr>
          <w:sz w:val="22"/>
          <w:szCs w:val="22"/>
          <w:lang w:val="nl-NL"/>
        </w:rPr>
        <w:t xml:space="preserve">van </w:t>
      </w:r>
      <w:r w:rsidR="00F17CA8" w:rsidRPr="317A30FB">
        <w:rPr>
          <w:sz w:val="22"/>
          <w:szCs w:val="22"/>
          <w:lang w:val="nl-NL"/>
        </w:rPr>
        <w:t>de brouwerij.  </w:t>
      </w:r>
      <w:r w:rsidR="00F17CA8" w:rsidRPr="317A30FB">
        <w:rPr>
          <w:sz w:val="22"/>
          <w:szCs w:val="22"/>
        </w:rPr>
        <w:t> </w:t>
      </w:r>
      <w:r>
        <w:br/>
      </w:r>
      <w:r>
        <w:br/>
      </w:r>
      <w:r w:rsidR="004F6B1B" w:rsidRPr="00CE79EF">
        <w:rPr>
          <w:b/>
          <w:bCs/>
        </w:rPr>
        <w:t>3. Jaarresultaten 2025</w:t>
      </w:r>
      <w:r w:rsidR="06056E19" w:rsidRPr="00CE79EF">
        <w:rPr>
          <w:b/>
          <w:bCs/>
        </w:rPr>
        <w:t xml:space="preserve"> – </w:t>
      </w:r>
      <w:r w:rsidR="001415A0">
        <w:rPr>
          <w:b/>
          <w:bCs/>
        </w:rPr>
        <w:t>Z</w:t>
      </w:r>
      <w:r w:rsidR="003601C1">
        <w:rPr>
          <w:b/>
          <w:bCs/>
        </w:rPr>
        <w:t xml:space="preserve">ichtbare </w:t>
      </w:r>
      <w:r w:rsidR="00E10D20" w:rsidRPr="00CE79EF">
        <w:rPr>
          <w:b/>
          <w:bCs/>
        </w:rPr>
        <w:t>vooruitgang</w:t>
      </w:r>
      <w:r w:rsidR="00E10D20" w:rsidRPr="317A30FB">
        <w:rPr>
          <w:b/>
          <w:bCs/>
        </w:rPr>
        <w:t xml:space="preserve"> </w:t>
      </w:r>
      <w:r w:rsidR="00090418">
        <w:rPr>
          <w:b/>
          <w:bCs/>
        </w:rPr>
        <w:t xml:space="preserve">in </w:t>
      </w:r>
      <w:r w:rsidR="00C97D87" w:rsidRPr="317A30FB">
        <w:rPr>
          <w:b/>
          <w:bCs/>
        </w:rPr>
        <w:t>volume en verbeter</w:t>
      </w:r>
      <w:r w:rsidR="00E10D20" w:rsidRPr="317A30FB">
        <w:rPr>
          <w:b/>
          <w:bCs/>
        </w:rPr>
        <w:t xml:space="preserve">ing van </w:t>
      </w:r>
      <w:r w:rsidR="7CA42F1A" w:rsidRPr="317A30FB">
        <w:rPr>
          <w:b/>
          <w:bCs/>
        </w:rPr>
        <w:t>recurrente rendabiliteit en kasstroom</w:t>
      </w:r>
      <w:r w:rsidR="2013A7E0" w:rsidRPr="317A30FB">
        <w:rPr>
          <w:b/>
          <w:bCs/>
        </w:rPr>
        <w:t xml:space="preserve"> in 2025</w:t>
      </w:r>
      <w:r w:rsidR="00E10D20" w:rsidRPr="317A30FB">
        <w:rPr>
          <w:b/>
          <w:bCs/>
          <w:sz w:val="22"/>
          <w:szCs w:val="22"/>
          <w:lang w:val="nl-NL"/>
        </w:rPr>
        <w:t xml:space="preserve"> </w:t>
      </w:r>
    </w:p>
    <w:tbl>
      <w:tblPr>
        <w:tblpPr w:leftFromText="141" w:rightFromText="141" w:vertAnchor="text" w:horzAnchor="margin" w:tblpY="3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1559"/>
        <w:gridCol w:w="1560"/>
        <w:gridCol w:w="2268"/>
      </w:tblGrid>
      <w:tr w:rsidR="003E7861" w:rsidRPr="00E304EA" w14:paraId="4F392DBA" w14:textId="77777777" w:rsidTr="003E7861">
        <w:trPr>
          <w:tblHeader/>
          <w:tblCellSpacing w:w="15" w:type="dxa"/>
        </w:trPr>
        <w:tc>
          <w:tcPr>
            <w:tcW w:w="3494" w:type="dxa"/>
            <w:vAlign w:val="center"/>
            <w:hideMark/>
          </w:tcPr>
          <w:p w14:paraId="2238678D"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Kerncijfer</w:t>
            </w:r>
          </w:p>
        </w:tc>
        <w:tc>
          <w:tcPr>
            <w:tcW w:w="1529" w:type="dxa"/>
            <w:vAlign w:val="center"/>
            <w:hideMark/>
          </w:tcPr>
          <w:p w14:paraId="68E95BA5"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2025</w:t>
            </w:r>
          </w:p>
        </w:tc>
        <w:tc>
          <w:tcPr>
            <w:tcW w:w="1530" w:type="dxa"/>
            <w:vAlign w:val="center"/>
            <w:hideMark/>
          </w:tcPr>
          <w:p w14:paraId="5B6DB776"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2024</w:t>
            </w:r>
          </w:p>
        </w:tc>
        <w:tc>
          <w:tcPr>
            <w:tcW w:w="2223" w:type="dxa"/>
            <w:vAlign w:val="center"/>
            <w:hideMark/>
          </w:tcPr>
          <w:p w14:paraId="1B2400A3"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Evolutie</w:t>
            </w:r>
          </w:p>
        </w:tc>
      </w:tr>
      <w:tr w:rsidR="003E7861" w:rsidRPr="00E304EA" w14:paraId="0810AEAB" w14:textId="77777777" w:rsidTr="003E7861">
        <w:trPr>
          <w:tblCellSpacing w:w="15" w:type="dxa"/>
        </w:trPr>
        <w:tc>
          <w:tcPr>
            <w:tcW w:w="3494" w:type="dxa"/>
            <w:vAlign w:val="center"/>
            <w:hideMark/>
          </w:tcPr>
          <w:p w14:paraId="5F9C2178"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Omzet</w:t>
            </w:r>
          </w:p>
        </w:tc>
        <w:tc>
          <w:tcPr>
            <w:tcW w:w="1529" w:type="dxa"/>
            <w:vAlign w:val="center"/>
          </w:tcPr>
          <w:p w14:paraId="03BCDDD3"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€109,1 mln</w:t>
            </w:r>
          </w:p>
        </w:tc>
        <w:tc>
          <w:tcPr>
            <w:tcW w:w="1530" w:type="dxa"/>
            <w:vAlign w:val="center"/>
            <w:hideMark/>
          </w:tcPr>
          <w:p w14:paraId="7F96AA56"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112</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1</w:t>
            </w:r>
            <w:r w:rsidRPr="00E304EA">
              <w:rPr>
                <w:rFonts w:ascii="Aptos" w:eastAsia="Arial" w:hAnsi="Aptos" w:cs="Arial"/>
                <w:kern w:val="0"/>
                <w:sz w:val="22"/>
                <w:szCs w:val="22"/>
                <w:lang w:val="nl-NL"/>
                <w14:ligatures w14:val="none"/>
              </w:rPr>
              <w:t xml:space="preserve"> mln</w:t>
            </w:r>
          </w:p>
        </w:tc>
        <w:tc>
          <w:tcPr>
            <w:tcW w:w="2223" w:type="dxa"/>
            <w:vAlign w:val="center"/>
            <w:hideMark/>
          </w:tcPr>
          <w:p w14:paraId="52119868"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2</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7</w:t>
            </w:r>
            <w:r w:rsidRPr="00E304EA">
              <w:rPr>
                <w:rFonts w:ascii="Aptos" w:eastAsia="Arial" w:hAnsi="Aptos" w:cs="Arial"/>
                <w:kern w:val="0"/>
                <w:sz w:val="22"/>
                <w:szCs w:val="22"/>
                <w:lang w:val="nl-NL"/>
                <w14:ligatures w14:val="none"/>
              </w:rPr>
              <w:t>%</w:t>
            </w:r>
          </w:p>
        </w:tc>
      </w:tr>
      <w:tr w:rsidR="003E7861" w:rsidRPr="00E304EA" w14:paraId="75F0F0B4" w14:textId="77777777" w:rsidTr="003E7861">
        <w:trPr>
          <w:tblCellSpacing w:w="15" w:type="dxa"/>
        </w:trPr>
        <w:tc>
          <w:tcPr>
            <w:tcW w:w="3494" w:type="dxa"/>
            <w:vAlign w:val="center"/>
            <w:hideMark/>
          </w:tcPr>
          <w:p w14:paraId="03098448" w14:textId="77777777"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Pr>
                <w:rFonts w:ascii="Aptos" w:eastAsia="Arial" w:hAnsi="Aptos" w:cs="Arial"/>
                <w:b/>
                <w:bCs/>
                <w:kern w:val="0"/>
                <w:sz w:val="22"/>
                <w:szCs w:val="22"/>
                <w:lang w:val="nl-NL"/>
                <w14:ligatures w14:val="none"/>
              </w:rPr>
              <w:t>R</w:t>
            </w:r>
            <w:r w:rsidRPr="00E304EA">
              <w:rPr>
                <w:rFonts w:ascii="Aptos" w:eastAsia="Arial" w:hAnsi="Aptos" w:cs="Arial"/>
                <w:b/>
                <w:bCs/>
                <w:kern w:val="0"/>
                <w:sz w:val="22"/>
                <w:szCs w:val="22"/>
                <w:lang w:val="nl-NL"/>
                <w14:ligatures w14:val="none"/>
              </w:rPr>
              <w:t>EBITDA</w:t>
            </w:r>
          </w:p>
        </w:tc>
        <w:tc>
          <w:tcPr>
            <w:tcW w:w="1529" w:type="dxa"/>
            <w:vAlign w:val="center"/>
          </w:tcPr>
          <w:p w14:paraId="1F246D70"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€10,2mln</w:t>
            </w:r>
          </w:p>
        </w:tc>
        <w:tc>
          <w:tcPr>
            <w:tcW w:w="1530" w:type="dxa"/>
            <w:vAlign w:val="center"/>
            <w:hideMark/>
          </w:tcPr>
          <w:p w14:paraId="53872CC4"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8</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6</w:t>
            </w:r>
            <w:r w:rsidRPr="00E304EA">
              <w:rPr>
                <w:rFonts w:ascii="Aptos" w:eastAsia="Arial" w:hAnsi="Aptos" w:cs="Arial"/>
                <w:kern w:val="0"/>
                <w:sz w:val="22"/>
                <w:szCs w:val="22"/>
                <w:lang w:val="nl-NL"/>
                <w14:ligatures w14:val="none"/>
              </w:rPr>
              <w:t xml:space="preserve"> mln</w:t>
            </w:r>
          </w:p>
        </w:tc>
        <w:tc>
          <w:tcPr>
            <w:tcW w:w="2223" w:type="dxa"/>
            <w:vAlign w:val="center"/>
            <w:hideMark/>
          </w:tcPr>
          <w:p w14:paraId="03CD4C33"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€1,6 mln</w:t>
            </w:r>
          </w:p>
        </w:tc>
      </w:tr>
      <w:tr w:rsidR="009A14D3" w:rsidRPr="00E304EA" w14:paraId="2842D3CE" w14:textId="77777777" w:rsidTr="003E7861">
        <w:trPr>
          <w:tblCellSpacing w:w="15" w:type="dxa"/>
        </w:trPr>
        <w:tc>
          <w:tcPr>
            <w:tcW w:w="3494" w:type="dxa"/>
            <w:vAlign w:val="center"/>
          </w:tcPr>
          <w:p w14:paraId="3AFC8E9E" w14:textId="3AE1C479" w:rsidR="009A14D3" w:rsidRPr="00E304EA" w:rsidRDefault="009A14D3" w:rsidP="003E7861">
            <w:pPr>
              <w:spacing w:after="0" w:line="240" w:lineRule="auto"/>
              <w:jc w:val="center"/>
              <w:rPr>
                <w:rFonts w:ascii="Aptos" w:eastAsia="Arial" w:hAnsi="Aptos" w:cs="Arial"/>
                <w:b/>
                <w:bCs/>
                <w:kern w:val="0"/>
                <w:sz w:val="22"/>
                <w:szCs w:val="22"/>
                <w:lang w:val="nl-NL"/>
                <w14:ligatures w14:val="none"/>
              </w:rPr>
            </w:pPr>
            <w:r>
              <w:rPr>
                <w:rFonts w:ascii="Aptos" w:eastAsia="Arial" w:hAnsi="Aptos" w:cs="Arial"/>
                <w:b/>
                <w:bCs/>
                <w:kern w:val="0"/>
                <w:sz w:val="22"/>
                <w:szCs w:val="22"/>
                <w:lang w:val="nl-NL"/>
                <w14:ligatures w14:val="none"/>
              </w:rPr>
              <w:t>Nettoresultaat</w:t>
            </w:r>
          </w:p>
        </w:tc>
        <w:tc>
          <w:tcPr>
            <w:tcW w:w="1529" w:type="dxa"/>
            <w:vAlign w:val="center"/>
          </w:tcPr>
          <w:p w14:paraId="05F82855" w14:textId="59606608" w:rsidR="009A14D3" w:rsidRDefault="00945D1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-€11,4 mln</w:t>
            </w:r>
          </w:p>
        </w:tc>
        <w:tc>
          <w:tcPr>
            <w:tcW w:w="1530" w:type="dxa"/>
            <w:vAlign w:val="center"/>
          </w:tcPr>
          <w:p w14:paraId="1C2FEBB2" w14:textId="21EEB87F" w:rsidR="009A14D3" w:rsidRPr="00E304EA" w:rsidRDefault="00945D1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-€8,2 mln</w:t>
            </w:r>
          </w:p>
        </w:tc>
        <w:tc>
          <w:tcPr>
            <w:tcW w:w="2223" w:type="dxa"/>
            <w:vAlign w:val="center"/>
          </w:tcPr>
          <w:p w14:paraId="7571C295" w14:textId="2EB977D7" w:rsidR="009A14D3" w:rsidRPr="00E304EA" w:rsidRDefault="00945D1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-€3.2 mln</w:t>
            </w:r>
          </w:p>
        </w:tc>
      </w:tr>
      <w:tr w:rsidR="003E7861" w:rsidRPr="00E304EA" w14:paraId="2F577645" w14:textId="77777777" w:rsidTr="003E7861">
        <w:trPr>
          <w:tblCellSpacing w:w="15" w:type="dxa"/>
        </w:trPr>
        <w:tc>
          <w:tcPr>
            <w:tcW w:w="3494" w:type="dxa"/>
            <w:vAlign w:val="center"/>
            <w:hideMark/>
          </w:tcPr>
          <w:p w14:paraId="374F21BA" w14:textId="0406D751" w:rsidR="003E7861" w:rsidRPr="00E304EA" w:rsidRDefault="009A14D3" w:rsidP="003E7861">
            <w:pPr>
              <w:spacing w:after="0" w:line="240" w:lineRule="auto"/>
              <w:jc w:val="center"/>
              <w:rPr>
                <w:rFonts w:ascii="Aptos" w:eastAsia="Arial" w:hAnsi="Aptos" w:cs="Arial"/>
                <w:b/>
                <w:bCs/>
                <w:kern w:val="0"/>
                <w:sz w:val="22"/>
                <w:szCs w:val="22"/>
                <w:lang w:val="nl-NL"/>
                <w14:ligatures w14:val="none"/>
              </w:rPr>
            </w:pPr>
            <w:r>
              <w:rPr>
                <w:rFonts w:ascii="Aptos" w:eastAsia="Arial" w:hAnsi="Aptos" w:cs="Arial"/>
                <w:b/>
                <w:bCs/>
                <w:kern w:val="0"/>
                <w:sz w:val="22"/>
                <w:szCs w:val="22"/>
                <w:lang w:val="nl-NL"/>
                <w14:ligatures w14:val="none"/>
              </w:rPr>
              <w:t>Recurrent n</w:t>
            </w:r>
            <w:r w:rsidRPr="00E304EA">
              <w:rPr>
                <w:rFonts w:ascii="Aptos" w:eastAsia="Arial" w:hAnsi="Aptos" w:cs="Arial"/>
                <w:b/>
                <w:bCs/>
                <w:kern w:val="0"/>
                <w:sz w:val="22"/>
                <w:szCs w:val="22"/>
                <w:lang w:val="nl-NL"/>
                <w14:ligatures w14:val="none"/>
              </w:rPr>
              <w:t>ettoresultaat</w:t>
            </w:r>
          </w:p>
        </w:tc>
        <w:tc>
          <w:tcPr>
            <w:tcW w:w="1529" w:type="dxa"/>
            <w:vAlign w:val="center"/>
          </w:tcPr>
          <w:p w14:paraId="71CDAB9E"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-€4,9 mln</w:t>
            </w:r>
          </w:p>
        </w:tc>
        <w:tc>
          <w:tcPr>
            <w:tcW w:w="1530" w:type="dxa"/>
            <w:vAlign w:val="center"/>
            <w:hideMark/>
          </w:tcPr>
          <w:p w14:paraId="7A3DBE70"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7</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1</w:t>
            </w:r>
            <w:r w:rsidRPr="00E304EA">
              <w:rPr>
                <w:rFonts w:ascii="Aptos" w:eastAsia="Arial" w:hAnsi="Aptos" w:cs="Arial"/>
                <w:kern w:val="0"/>
                <w:sz w:val="22"/>
                <w:szCs w:val="22"/>
                <w:lang w:val="nl-NL"/>
                <w14:ligatures w14:val="none"/>
              </w:rPr>
              <w:t xml:space="preserve"> mln</w:t>
            </w:r>
          </w:p>
        </w:tc>
        <w:tc>
          <w:tcPr>
            <w:tcW w:w="2223" w:type="dxa"/>
            <w:vAlign w:val="center"/>
            <w:hideMark/>
          </w:tcPr>
          <w:p w14:paraId="2DBFBA36"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2</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2</w:t>
            </w:r>
            <w:r w:rsidRPr="00E304EA">
              <w:rPr>
                <w:rFonts w:ascii="Aptos" w:eastAsia="Arial" w:hAnsi="Aptos" w:cs="Arial"/>
                <w:kern w:val="0"/>
                <w:sz w:val="22"/>
                <w:szCs w:val="22"/>
                <w:lang w:val="nl-NL"/>
                <w14:ligatures w14:val="none"/>
              </w:rPr>
              <w:t xml:space="preserve"> mln</w:t>
            </w:r>
          </w:p>
        </w:tc>
      </w:tr>
      <w:tr w:rsidR="003E7861" w:rsidRPr="00E304EA" w14:paraId="3E2294CA" w14:textId="77777777" w:rsidTr="003E7861">
        <w:trPr>
          <w:tblCellSpacing w:w="15" w:type="dxa"/>
        </w:trPr>
        <w:tc>
          <w:tcPr>
            <w:tcW w:w="3494" w:type="dxa"/>
            <w:vAlign w:val="center"/>
            <w:hideMark/>
          </w:tcPr>
          <w:p w14:paraId="496107F0" w14:textId="157EFCB2" w:rsidR="003E7861" w:rsidRPr="00E304EA" w:rsidRDefault="003E7861" w:rsidP="003E7861">
            <w:pPr>
              <w:spacing w:after="0" w:line="240" w:lineRule="auto"/>
              <w:jc w:val="center"/>
              <w:rPr>
                <w:rFonts w:ascii="Aptos" w:eastAsia="Arial" w:hAnsi="Aptos" w:cs="Arial"/>
                <w:b/>
                <w:bCs/>
                <w:kern w:val="0"/>
                <w:sz w:val="22"/>
                <w:szCs w:val="22"/>
                <w:lang w:val="nl-NL"/>
                <w14:ligatures w14:val="none"/>
              </w:rPr>
            </w:pPr>
            <w:r w:rsidRPr="00E304EA">
              <w:rPr>
                <w:rFonts w:ascii="Aptos" w:eastAsia="Arial" w:hAnsi="Aptos" w:cs="Arial"/>
                <w:b/>
                <w:bCs/>
                <w:kern w:val="0"/>
                <w:sz w:val="22"/>
                <w:szCs w:val="22"/>
                <w:lang w:val="nl-NL"/>
                <w14:ligatures w14:val="none"/>
              </w:rPr>
              <w:t xml:space="preserve">Netto financiële </w:t>
            </w:r>
            <w:r w:rsidR="00E62096">
              <w:rPr>
                <w:rFonts w:ascii="Aptos" w:eastAsia="Arial" w:hAnsi="Aptos" w:cs="Arial"/>
                <w:b/>
                <w:bCs/>
                <w:kern w:val="0"/>
                <w:sz w:val="22"/>
                <w:szCs w:val="22"/>
                <w:lang w:val="nl-NL"/>
                <w14:ligatures w14:val="none"/>
              </w:rPr>
              <w:t>schuld</w:t>
            </w:r>
          </w:p>
        </w:tc>
        <w:tc>
          <w:tcPr>
            <w:tcW w:w="1529" w:type="dxa"/>
            <w:vAlign w:val="center"/>
          </w:tcPr>
          <w:p w14:paraId="2A7A57FB"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€21,2 mln</w:t>
            </w:r>
          </w:p>
        </w:tc>
        <w:tc>
          <w:tcPr>
            <w:tcW w:w="1530" w:type="dxa"/>
            <w:vAlign w:val="center"/>
            <w:hideMark/>
          </w:tcPr>
          <w:p w14:paraId="328E1133"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23,9</w:t>
            </w:r>
            <w:r w:rsidRPr="00E304EA">
              <w:rPr>
                <w:rFonts w:ascii="Aptos" w:eastAsia="Arial" w:hAnsi="Aptos" w:cs="Arial"/>
                <w:kern w:val="0"/>
                <w:sz w:val="22"/>
                <w:szCs w:val="22"/>
                <w:lang w:val="nl-NL"/>
                <w14:ligatures w14:val="none"/>
              </w:rPr>
              <w:t xml:space="preserve"> mln</w:t>
            </w:r>
          </w:p>
        </w:tc>
        <w:tc>
          <w:tcPr>
            <w:tcW w:w="2223" w:type="dxa"/>
            <w:vAlign w:val="center"/>
            <w:hideMark/>
          </w:tcPr>
          <w:p w14:paraId="0F36A347" w14:textId="77777777" w:rsidR="003E7861" w:rsidRPr="00E304EA" w:rsidRDefault="003E7861" w:rsidP="003E7861">
            <w:pPr>
              <w:spacing w:after="0" w:line="240" w:lineRule="auto"/>
              <w:jc w:val="center"/>
              <w:rPr>
                <w:rFonts w:ascii="Aptos" w:eastAsia="Arial" w:hAnsi="Aptos" w:cs="Arial"/>
                <w:kern w:val="0"/>
                <w:sz w:val="22"/>
                <w:szCs w:val="22"/>
                <w:lang w:val="nl-NL"/>
                <w14:ligatures w14:val="none"/>
              </w:rPr>
            </w:pPr>
            <w:r>
              <w:rPr>
                <w:rFonts w:ascii="Aptos" w:eastAsia="Arial" w:hAnsi="Aptos" w:cs="Arial"/>
                <w:kern w:val="0"/>
                <w:sz w:val="22"/>
                <w:szCs w:val="22"/>
                <w:lang w:val="nl-NL"/>
                <w14:ligatures w14:val="none"/>
              </w:rPr>
              <w:t>-</w:t>
            </w:r>
            <w:r w:rsidRPr="00E304EA">
              <w:rPr>
                <w:rFonts w:ascii="Aptos" w:eastAsia="Arial" w:hAnsi="Aptos" w:cs="Arial"/>
                <w:kern w:val="0"/>
                <w:sz w:val="22"/>
                <w:szCs w:val="22"/>
                <w:lang w:val="nl-NL"/>
                <w14:ligatures w14:val="none"/>
              </w:rPr>
              <w:t>€</w:t>
            </w:r>
            <w:r>
              <w:rPr>
                <w:rFonts w:ascii="Aptos" w:eastAsia="Arial" w:hAnsi="Aptos" w:cs="Arial"/>
                <w:kern w:val="0"/>
                <w:sz w:val="22"/>
                <w:szCs w:val="22"/>
                <w:lang w:val="nl-NL"/>
                <w14:ligatures w14:val="none"/>
              </w:rPr>
              <w:t>2</w:t>
            </w:r>
            <w:r w:rsidRPr="00E304EA">
              <w:rPr>
                <w:rFonts w:ascii="Aptos" w:eastAsia="Arial" w:hAnsi="Aptos" w:cs="Arial"/>
                <w:kern w:val="0"/>
                <w:sz w:val="22"/>
                <w:szCs w:val="22"/>
                <w:lang w:val="nl-NL"/>
                <w14:ligatures w14:val="none"/>
              </w:rPr>
              <w:t>,7 mln</w:t>
            </w:r>
          </w:p>
        </w:tc>
      </w:tr>
    </w:tbl>
    <w:p w14:paraId="18638BB9" w14:textId="040FE26C" w:rsidR="00A30313" w:rsidRDefault="003E7861" w:rsidP="007A02DC">
      <w:pPr>
        <w:rPr>
          <w:b/>
          <w:bCs/>
        </w:rPr>
      </w:pPr>
      <w:r>
        <w:br/>
      </w:r>
      <w:r w:rsidR="00E10D20" w:rsidRPr="00CE79EF">
        <w:rPr>
          <w:sz w:val="22"/>
          <w:szCs w:val="22"/>
        </w:rPr>
        <w:t xml:space="preserve">Initiatieven gericht op </w:t>
      </w:r>
      <w:r w:rsidR="00E10D20" w:rsidRPr="00CE79EF">
        <w:rPr>
          <w:sz w:val="22"/>
          <w:szCs w:val="22"/>
          <w:lang w:val="nl-NL"/>
        </w:rPr>
        <w:t>volumegroei</w:t>
      </w:r>
      <w:r w:rsidR="00CA659A" w:rsidRPr="00CE79EF">
        <w:rPr>
          <w:sz w:val="22"/>
          <w:szCs w:val="22"/>
          <w:lang w:val="nl-NL"/>
        </w:rPr>
        <w:t xml:space="preserve"> resulteerden in 2025 </w:t>
      </w:r>
      <w:r w:rsidR="00775136" w:rsidRPr="00CE79EF">
        <w:rPr>
          <w:sz w:val="22"/>
          <w:szCs w:val="22"/>
          <w:lang w:val="nl-NL"/>
        </w:rPr>
        <w:t xml:space="preserve">in </w:t>
      </w:r>
      <w:r w:rsidR="00CA659A" w:rsidRPr="00CE79EF">
        <w:rPr>
          <w:sz w:val="22"/>
          <w:szCs w:val="22"/>
          <w:lang w:val="nl-NL"/>
        </w:rPr>
        <w:t xml:space="preserve">een stijging van de verkoopvolumes </w:t>
      </w:r>
      <w:r w:rsidR="00B21A8B" w:rsidRPr="00CE79EF">
        <w:rPr>
          <w:sz w:val="22"/>
          <w:szCs w:val="22"/>
          <w:lang w:val="nl-NL"/>
        </w:rPr>
        <w:t xml:space="preserve">van </w:t>
      </w:r>
      <w:r w:rsidR="00CA659A" w:rsidRPr="00CE79EF">
        <w:rPr>
          <w:sz w:val="22"/>
          <w:szCs w:val="22"/>
          <w:lang w:val="nl-NL"/>
        </w:rPr>
        <w:t>bier en frisdranken met 0</w:t>
      </w:r>
      <w:r w:rsidR="00D34F4B" w:rsidRPr="00CE79EF">
        <w:rPr>
          <w:sz w:val="22"/>
          <w:szCs w:val="22"/>
          <w:lang w:val="nl-NL"/>
        </w:rPr>
        <w:t>,</w:t>
      </w:r>
      <w:r w:rsidR="00CA659A" w:rsidRPr="00CE79EF">
        <w:rPr>
          <w:sz w:val="22"/>
          <w:szCs w:val="22"/>
          <w:lang w:val="nl-NL"/>
        </w:rPr>
        <w:t>8%, tegenover -8</w:t>
      </w:r>
      <w:r w:rsidR="00D34F4B" w:rsidRPr="00CE79EF">
        <w:rPr>
          <w:sz w:val="22"/>
          <w:szCs w:val="22"/>
          <w:lang w:val="nl-NL"/>
        </w:rPr>
        <w:t>,</w:t>
      </w:r>
      <w:r w:rsidR="00CA659A" w:rsidRPr="00CE79EF">
        <w:rPr>
          <w:sz w:val="22"/>
          <w:szCs w:val="22"/>
          <w:lang w:val="nl-NL"/>
        </w:rPr>
        <w:t xml:space="preserve">4% in 2024. </w:t>
      </w:r>
      <w:r w:rsidR="00CA659A" w:rsidRPr="00CE79EF">
        <w:br/>
      </w:r>
      <w:r w:rsidR="00CA659A" w:rsidRPr="00CE79EF">
        <w:br/>
      </w:r>
      <w:r w:rsidR="00CA659A" w:rsidRPr="00CE79EF">
        <w:rPr>
          <w:sz w:val="22"/>
          <w:szCs w:val="22"/>
          <w:lang w:val="nl-NL"/>
        </w:rPr>
        <w:t xml:space="preserve">In combinatie met initiatieven gericht op de </w:t>
      </w:r>
      <w:r w:rsidR="00E10D20" w:rsidRPr="00CE79EF">
        <w:rPr>
          <w:sz w:val="22"/>
          <w:szCs w:val="22"/>
          <w:lang w:val="nl-NL"/>
        </w:rPr>
        <w:t xml:space="preserve">verbetering van de rendabiliteit en </w:t>
      </w:r>
      <w:r w:rsidR="001F355A" w:rsidRPr="00CE79EF">
        <w:rPr>
          <w:sz w:val="22"/>
          <w:szCs w:val="22"/>
          <w:lang w:val="nl-NL"/>
        </w:rPr>
        <w:t xml:space="preserve">het waarborgen </w:t>
      </w:r>
      <w:r w:rsidR="00E10D20" w:rsidRPr="00CE79EF">
        <w:rPr>
          <w:sz w:val="22"/>
          <w:szCs w:val="22"/>
          <w:lang w:val="nl-NL"/>
        </w:rPr>
        <w:t>van een positieve kasstroom </w:t>
      </w:r>
      <w:r w:rsidR="00CA659A" w:rsidRPr="00CE79EF">
        <w:rPr>
          <w:sz w:val="22"/>
          <w:szCs w:val="22"/>
          <w:lang w:val="nl-NL"/>
        </w:rPr>
        <w:t xml:space="preserve">hebben de inspanningen die </w:t>
      </w:r>
      <w:r w:rsidR="00E10D20" w:rsidRPr="00CE79EF">
        <w:rPr>
          <w:sz w:val="22"/>
          <w:szCs w:val="22"/>
          <w:lang w:val="nl-NL"/>
        </w:rPr>
        <w:t xml:space="preserve">in 2025 </w:t>
      </w:r>
      <w:r w:rsidR="00CA659A" w:rsidRPr="00CE79EF">
        <w:rPr>
          <w:sz w:val="22"/>
          <w:szCs w:val="22"/>
          <w:lang w:val="nl-NL"/>
        </w:rPr>
        <w:t>geleverd werden</w:t>
      </w:r>
      <w:r w:rsidR="00E7430C" w:rsidRPr="00CE79EF">
        <w:rPr>
          <w:sz w:val="22"/>
          <w:szCs w:val="22"/>
          <w:lang w:val="nl-NL"/>
        </w:rPr>
        <w:t>,</w:t>
      </w:r>
      <w:r w:rsidR="00CA659A" w:rsidRPr="00CE79EF">
        <w:rPr>
          <w:sz w:val="22"/>
          <w:szCs w:val="22"/>
          <w:lang w:val="nl-NL"/>
        </w:rPr>
        <w:t xml:space="preserve"> </w:t>
      </w:r>
      <w:r w:rsidR="00E10D20" w:rsidRPr="00CE79EF">
        <w:rPr>
          <w:sz w:val="22"/>
          <w:szCs w:val="22"/>
          <w:lang w:val="nl-NL"/>
        </w:rPr>
        <w:t>gezorgd voor een stijging van de</w:t>
      </w:r>
      <w:r w:rsidR="00FD7125" w:rsidRPr="00CE79EF">
        <w:rPr>
          <w:sz w:val="22"/>
          <w:szCs w:val="22"/>
        </w:rPr>
        <w:t xml:space="preserve"> </w:t>
      </w:r>
      <w:r w:rsidR="00AE522E" w:rsidRPr="00CE79EF">
        <w:rPr>
          <w:sz w:val="22"/>
          <w:szCs w:val="22"/>
        </w:rPr>
        <w:t xml:space="preserve">recurrente </w:t>
      </w:r>
      <w:r w:rsidR="00FD7125" w:rsidRPr="00CE79EF">
        <w:rPr>
          <w:sz w:val="22"/>
          <w:szCs w:val="22"/>
        </w:rPr>
        <w:t>bedrijfscashflow (</w:t>
      </w:r>
      <w:r w:rsidR="00E10D20" w:rsidRPr="00CE79EF">
        <w:rPr>
          <w:sz w:val="22"/>
          <w:szCs w:val="22"/>
        </w:rPr>
        <w:t>R</w:t>
      </w:r>
      <w:r w:rsidR="00FD7125" w:rsidRPr="00CE79EF">
        <w:rPr>
          <w:sz w:val="22"/>
          <w:szCs w:val="22"/>
        </w:rPr>
        <w:t xml:space="preserve">EBITDA) met </w:t>
      </w:r>
      <w:r w:rsidR="00E10D20" w:rsidRPr="00CE79EF">
        <w:rPr>
          <w:sz w:val="22"/>
          <w:szCs w:val="22"/>
        </w:rPr>
        <w:t>1,6 miljoen euro</w:t>
      </w:r>
      <w:r w:rsidR="00FD7125" w:rsidRPr="00CE79EF">
        <w:rPr>
          <w:sz w:val="22"/>
          <w:szCs w:val="22"/>
        </w:rPr>
        <w:t xml:space="preserve"> tot </w:t>
      </w:r>
      <w:r w:rsidR="00E10D20" w:rsidRPr="00CE79EF">
        <w:rPr>
          <w:sz w:val="22"/>
          <w:szCs w:val="22"/>
          <w:lang w:val="nl-NL"/>
        </w:rPr>
        <w:t>10</w:t>
      </w:r>
      <w:r w:rsidR="00D34F4B" w:rsidRPr="00CE79EF">
        <w:rPr>
          <w:sz w:val="22"/>
          <w:szCs w:val="22"/>
          <w:lang w:val="nl-NL"/>
        </w:rPr>
        <w:t>,</w:t>
      </w:r>
      <w:r w:rsidR="00E10D20" w:rsidRPr="00CE79EF">
        <w:rPr>
          <w:sz w:val="22"/>
          <w:szCs w:val="22"/>
          <w:lang w:val="nl-NL"/>
        </w:rPr>
        <w:t>2 miljoen euro</w:t>
      </w:r>
      <w:r w:rsidR="00CA659A" w:rsidRPr="00CE79EF">
        <w:rPr>
          <w:sz w:val="22"/>
          <w:szCs w:val="22"/>
          <w:lang w:val="nl-NL"/>
        </w:rPr>
        <w:t>,</w:t>
      </w:r>
      <w:r w:rsidR="00E10D20" w:rsidRPr="00CE79EF">
        <w:rPr>
          <w:sz w:val="22"/>
          <w:szCs w:val="22"/>
          <w:lang w:val="nl-NL"/>
        </w:rPr>
        <w:t xml:space="preserve"> in vergelijking met 8</w:t>
      </w:r>
      <w:r w:rsidR="00D34F4B" w:rsidRPr="00CE79EF">
        <w:rPr>
          <w:sz w:val="22"/>
          <w:szCs w:val="22"/>
          <w:lang w:val="nl-NL"/>
        </w:rPr>
        <w:t>,</w:t>
      </w:r>
      <w:r w:rsidR="00E10D20" w:rsidRPr="00CE79EF">
        <w:rPr>
          <w:sz w:val="22"/>
          <w:szCs w:val="22"/>
          <w:lang w:val="nl-NL"/>
        </w:rPr>
        <w:t>6 miljoen euro in 2024</w:t>
      </w:r>
      <w:r w:rsidR="00E10D20" w:rsidRPr="00CE79EF">
        <w:rPr>
          <w:b/>
          <w:bCs/>
          <w:sz w:val="22"/>
          <w:szCs w:val="22"/>
          <w:lang w:val="nl-NL"/>
        </w:rPr>
        <w:t>.</w:t>
      </w:r>
      <w:r w:rsidR="00CA659A" w:rsidRPr="00CE79EF">
        <w:rPr>
          <w:b/>
          <w:bCs/>
          <w:sz w:val="22"/>
          <w:szCs w:val="22"/>
          <w:lang w:val="nl-NL"/>
        </w:rPr>
        <w:t xml:space="preserve"> </w:t>
      </w:r>
      <w:r w:rsidR="00CA659A" w:rsidRPr="00CE79EF">
        <w:br/>
      </w:r>
      <w:r w:rsidR="00CA659A" w:rsidRPr="00CE79EF">
        <w:br/>
      </w:r>
      <w:r w:rsidR="00E10D20" w:rsidRPr="00CE79EF">
        <w:rPr>
          <w:sz w:val="22"/>
          <w:szCs w:val="22"/>
          <w:lang w:val="nl-NL"/>
        </w:rPr>
        <w:t xml:space="preserve">De netto financiële schuld </w:t>
      </w:r>
      <w:r w:rsidR="00775136" w:rsidRPr="00CE79EF">
        <w:rPr>
          <w:sz w:val="22"/>
          <w:szCs w:val="22"/>
          <w:lang w:val="nl-NL"/>
        </w:rPr>
        <w:t>verbeterde</w:t>
      </w:r>
      <w:r w:rsidR="00E10D20" w:rsidRPr="00CE79EF">
        <w:rPr>
          <w:sz w:val="22"/>
          <w:szCs w:val="22"/>
          <w:lang w:val="nl-NL"/>
        </w:rPr>
        <w:t xml:space="preserve"> tot 21</w:t>
      </w:r>
      <w:r w:rsidR="00D34F4B" w:rsidRPr="00CE79EF">
        <w:rPr>
          <w:sz w:val="22"/>
          <w:szCs w:val="22"/>
          <w:lang w:val="nl-NL"/>
        </w:rPr>
        <w:t>,</w:t>
      </w:r>
      <w:r w:rsidR="00E10D20" w:rsidRPr="00CE79EF">
        <w:rPr>
          <w:sz w:val="22"/>
          <w:szCs w:val="22"/>
          <w:lang w:val="nl-NL"/>
        </w:rPr>
        <w:t xml:space="preserve">2 miljoen euro, </w:t>
      </w:r>
      <w:r w:rsidR="00A63446" w:rsidRPr="00CE79EF">
        <w:rPr>
          <w:sz w:val="22"/>
          <w:szCs w:val="22"/>
          <w:lang w:val="nl-NL"/>
        </w:rPr>
        <w:t>gedreven door een positieve</w:t>
      </w:r>
      <w:r w:rsidR="00E10D20" w:rsidRPr="00CE79EF">
        <w:rPr>
          <w:sz w:val="22"/>
          <w:szCs w:val="22"/>
          <w:lang w:val="nl-NL"/>
        </w:rPr>
        <w:t xml:space="preserve"> kasstroom </w:t>
      </w:r>
      <w:r w:rsidR="00701EAE" w:rsidRPr="00CE79EF">
        <w:rPr>
          <w:sz w:val="22"/>
          <w:szCs w:val="22"/>
          <w:lang w:val="nl-NL"/>
        </w:rPr>
        <w:t xml:space="preserve">van </w:t>
      </w:r>
      <w:r w:rsidR="00A63446" w:rsidRPr="00CE79EF">
        <w:rPr>
          <w:sz w:val="22"/>
          <w:szCs w:val="22"/>
          <w:lang w:val="nl-NL"/>
        </w:rPr>
        <w:t>2</w:t>
      </w:r>
      <w:r w:rsidR="00D34F4B" w:rsidRPr="00CE79EF">
        <w:rPr>
          <w:sz w:val="22"/>
          <w:szCs w:val="22"/>
          <w:lang w:val="nl-NL"/>
        </w:rPr>
        <w:t>,</w:t>
      </w:r>
      <w:r w:rsidR="00A63446" w:rsidRPr="00CE79EF">
        <w:rPr>
          <w:sz w:val="22"/>
          <w:szCs w:val="22"/>
          <w:lang w:val="nl-NL"/>
        </w:rPr>
        <w:t xml:space="preserve">7 miljoen euro </w:t>
      </w:r>
      <w:r w:rsidR="00E10D20" w:rsidRPr="00CE79EF">
        <w:rPr>
          <w:sz w:val="22"/>
          <w:szCs w:val="22"/>
          <w:lang w:val="nl-NL"/>
        </w:rPr>
        <w:t xml:space="preserve">in </w:t>
      </w:r>
      <w:r w:rsidR="00A63446" w:rsidRPr="00CE79EF">
        <w:rPr>
          <w:sz w:val="22"/>
          <w:szCs w:val="22"/>
          <w:lang w:val="nl-NL"/>
        </w:rPr>
        <w:t>2025</w:t>
      </w:r>
      <w:r w:rsidR="00CA659A" w:rsidRPr="00CE79EF">
        <w:rPr>
          <w:sz w:val="22"/>
          <w:szCs w:val="22"/>
          <w:lang w:val="nl-NL"/>
        </w:rPr>
        <w:t>.</w:t>
      </w:r>
      <w:r w:rsidR="00CA659A" w:rsidRPr="00240D64">
        <w:rPr>
          <w:sz w:val="22"/>
          <w:szCs w:val="22"/>
          <w:lang w:val="nl-NL"/>
        </w:rPr>
        <w:t xml:space="preserve"> </w:t>
      </w:r>
      <w:r w:rsidR="00E10D20" w:rsidRPr="00240D64">
        <w:rPr>
          <w:sz w:val="22"/>
          <w:szCs w:val="22"/>
          <w:lang w:val="nl-NL"/>
        </w:rPr>
        <w:t xml:space="preserve"> </w:t>
      </w:r>
      <w:r w:rsidR="00CA659A">
        <w:br/>
      </w:r>
      <w:r w:rsidR="00CA659A">
        <w:br/>
      </w:r>
      <w:r w:rsidR="00CA659A" w:rsidRPr="00240D64">
        <w:rPr>
          <w:sz w:val="22"/>
          <w:szCs w:val="22"/>
          <w:lang w:val="nl-NL"/>
        </w:rPr>
        <w:t>Belangrijke waardecorrecties werden geboekt op financiële activa en werkkapitaal in 2025, wat – samen met de kost van de optimalisering van de personeelsbezetting– leidt tot -6</w:t>
      </w:r>
      <w:r w:rsidR="00D34F4B">
        <w:rPr>
          <w:sz w:val="22"/>
          <w:szCs w:val="22"/>
          <w:lang w:val="nl-NL"/>
        </w:rPr>
        <w:t>,</w:t>
      </w:r>
      <w:r w:rsidR="00CA659A" w:rsidRPr="00240D64">
        <w:rPr>
          <w:sz w:val="22"/>
          <w:szCs w:val="22"/>
          <w:lang w:val="nl-NL"/>
        </w:rPr>
        <w:t>5 miljoen euro uitzonderlijke resultaten in 2025 in vergelijking met -1</w:t>
      </w:r>
      <w:r w:rsidR="00D34F4B">
        <w:rPr>
          <w:sz w:val="22"/>
          <w:szCs w:val="22"/>
          <w:lang w:val="nl-NL"/>
        </w:rPr>
        <w:t>,</w:t>
      </w:r>
      <w:r w:rsidR="00CA659A" w:rsidRPr="00240D64">
        <w:rPr>
          <w:sz w:val="22"/>
          <w:szCs w:val="22"/>
          <w:lang w:val="nl-NL"/>
        </w:rPr>
        <w:t>1 miljoen euro in 2024</w:t>
      </w:r>
      <w:r w:rsidR="00CA659A">
        <w:br/>
      </w:r>
      <w:r w:rsidR="00CA659A">
        <w:br/>
      </w:r>
      <w:r w:rsidR="00CA659A" w:rsidRPr="00C97D87">
        <w:rPr>
          <w:sz w:val="22"/>
          <w:szCs w:val="22"/>
          <w:lang w:val="nl-NL"/>
        </w:rPr>
        <w:t>Het nettoresultaat </w:t>
      </w:r>
      <w:r w:rsidR="00CA659A" w:rsidRPr="00240D64">
        <w:rPr>
          <w:sz w:val="22"/>
          <w:szCs w:val="22"/>
          <w:lang w:val="nl-NL"/>
        </w:rPr>
        <w:t xml:space="preserve">in 2025 </w:t>
      </w:r>
      <w:r w:rsidR="00CA659A" w:rsidRPr="00C97D87">
        <w:rPr>
          <w:sz w:val="22"/>
          <w:szCs w:val="22"/>
          <w:lang w:val="nl-NL"/>
        </w:rPr>
        <w:t>bedraagt -11</w:t>
      </w:r>
      <w:r w:rsidR="00D34F4B">
        <w:rPr>
          <w:sz w:val="22"/>
          <w:szCs w:val="22"/>
          <w:lang w:val="nl-NL"/>
        </w:rPr>
        <w:t>,</w:t>
      </w:r>
      <w:r w:rsidR="00CA659A" w:rsidRPr="00C97D87">
        <w:rPr>
          <w:sz w:val="22"/>
          <w:szCs w:val="22"/>
          <w:lang w:val="nl-NL"/>
        </w:rPr>
        <w:t>4 miljoen euro, tegenover -8</w:t>
      </w:r>
      <w:r w:rsidR="00D34F4B">
        <w:rPr>
          <w:sz w:val="22"/>
          <w:szCs w:val="22"/>
          <w:lang w:val="nl-NL"/>
        </w:rPr>
        <w:t>,</w:t>
      </w:r>
      <w:r w:rsidR="00CA659A" w:rsidRPr="00C97D87">
        <w:rPr>
          <w:sz w:val="22"/>
          <w:szCs w:val="22"/>
          <w:lang w:val="nl-NL"/>
        </w:rPr>
        <w:t xml:space="preserve">2 miljoen euro in 2024. </w:t>
      </w:r>
      <w:r w:rsidR="00CA659A" w:rsidRPr="00C97D87">
        <w:rPr>
          <w:sz w:val="22"/>
          <w:szCs w:val="22"/>
          <w:lang w:val="nl-NL"/>
        </w:rPr>
        <w:lastRenderedPageBreak/>
        <w:t>Het recurrent nettoresultaat </w:t>
      </w:r>
      <w:r w:rsidR="008E2A4F">
        <w:rPr>
          <w:sz w:val="22"/>
          <w:szCs w:val="22"/>
          <w:lang w:val="nl-NL"/>
        </w:rPr>
        <w:t xml:space="preserve">(voor uitzonderlijke kosten) </w:t>
      </w:r>
      <w:r w:rsidR="00CA659A" w:rsidRPr="00C97D87">
        <w:rPr>
          <w:sz w:val="22"/>
          <w:szCs w:val="22"/>
          <w:lang w:val="nl-NL"/>
        </w:rPr>
        <w:t>verbetert met 2</w:t>
      </w:r>
      <w:r w:rsidR="00D34F4B">
        <w:rPr>
          <w:sz w:val="22"/>
          <w:szCs w:val="22"/>
          <w:lang w:val="nl-NL"/>
        </w:rPr>
        <w:t>,</w:t>
      </w:r>
      <w:r w:rsidR="00CA659A" w:rsidRPr="00C97D87">
        <w:rPr>
          <w:sz w:val="22"/>
          <w:szCs w:val="22"/>
          <w:lang w:val="nl-NL"/>
        </w:rPr>
        <w:t xml:space="preserve">2 miljoen euro in </w:t>
      </w:r>
      <w:r w:rsidR="00CA659A" w:rsidRPr="00240D64">
        <w:rPr>
          <w:sz w:val="22"/>
          <w:szCs w:val="22"/>
          <w:lang w:val="nl-NL"/>
        </w:rPr>
        <w:t>20</w:t>
      </w:r>
      <w:r w:rsidR="00CA659A" w:rsidRPr="00C97D87">
        <w:rPr>
          <w:sz w:val="22"/>
          <w:szCs w:val="22"/>
          <w:lang w:val="nl-NL"/>
        </w:rPr>
        <w:t>25 en bedraagt</w:t>
      </w:r>
      <w:r w:rsidR="00293AE2">
        <w:rPr>
          <w:sz w:val="22"/>
          <w:szCs w:val="22"/>
          <w:lang w:val="nl-NL"/>
        </w:rPr>
        <w:t xml:space="preserve"> </w:t>
      </w:r>
      <w:r w:rsidR="00CA659A" w:rsidRPr="00C97D87">
        <w:rPr>
          <w:sz w:val="22"/>
          <w:szCs w:val="22"/>
          <w:lang w:val="nl-NL"/>
        </w:rPr>
        <w:t>-4</w:t>
      </w:r>
      <w:r w:rsidR="00D34F4B">
        <w:rPr>
          <w:sz w:val="22"/>
          <w:szCs w:val="22"/>
          <w:lang w:val="nl-NL"/>
        </w:rPr>
        <w:t>,</w:t>
      </w:r>
      <w:r w:rsidR="00CA659A" w:rsidRPr="00C97D87">
        <w:rPr>
          <w:sz w:val="22"/>
          <w:szCs w:val="22"/>
          <w:lang w:val="nl-NL"/>
        </w:rPr>
        <w:t>9 miljoen euro in vergelijking met -7</w:t>
      </w:r>
      <w:r w:rsidR="00D34F4B">
        <w:rPr>
          <w:sz w:val="22"/>
          <w:szCs w:val="22"/>
          <w:lang w:val="nl-NL"/>
        </w:rPr>
        <w:t>,</w:t>
      </w:r>
      <w:r w:rsidR="00CA659A" w:rsidRPr="00C97D87">
        <w:rPr>
          <w:sz w:val="22"/>
          <w:szCs w:val="22"/>
          <w:lang w:val="nl-NL"/>
        </w:rPr>
        <w:t>1 miljoen euro in 2024.</w:t>
      </w:r>
      <w:r w:rsidR="00CA659A" w:rsidRPr="00240D64">
        <w:rPr>
          <w:sz w:val="22"/>
          <w:szCs w:val="22"/>
          <w:lang w:val="nl-NL"/>
        </w:rPr>
        <w:t xml:space="preserve"> </w:t>
      </w:r>
      <w:r w:rsidR="00CA659A" w:rsidRPr="00C97D87">
        <w:rPr>
          <w:sz w:val="22"/>
          <w:szCs w:val="22"/>
          <w:lang w:val="nl-NL"/>
        </w:rPr>
        <w:t> </w:t>
      </w:r>
      <w:r w:rsidR="00CA659A" w:rsidRPr="00C97D87">
        <w:rPr>
          <w:sz w:val="22"/>
          <w:szCs w:val="22"/>
        </w:rPr>
        <w:t> </w:t>
      </w:r>
      <w:r w:rsidR="008C6C53">
        <w:br/>
      </w:r>
      <w:r w:rsidR="007D71D3">
        <w:br/>
      </w:r>
      <w:r w:rsidR="007D71D3" w:rsidRPr="00A93069">
        <w:rPr>
          <w:b/>
          <w:bCs/>
          <w:sz w:val="22"/>
          <w:szCs w:val="22"/>
          <w:lang w:val="nl-NL"/>
        </w:rPr>
        <w:t>Initiatieven gericht op omzetgroei </w:t>
      </w:r>
      <w:r w:rsidR="007D71D3" w:rsidRPr="00A93069">
        <w:rPr>
          <w:sz w:val="22"/>
          <w:szCs w:val="22"/>
        </w:rPr>
        <w:t> </w:t>
      </w:r>
      <w:r w:rsidR="00240D64">
        <w:br/>
      </w:r>
      <w:r w:rsidR="007D71D3">
        <w:br/>
      </w:r>
      <w:r w:rsidR="007D71D3" w:rsidRPr="0020075A">
        <w:rPr>
          <w:sz w:val="22"/>
          <w:szCs w:val="22"/>
          <w:lang w:val="nl-NL"/>
        </w:rPr>
        <w:t>Het merkbeleid werd in 2025 verder aangescherpt, gericht op groei in pil</w:t>
      </w:r>
      <w:r w:rsidR="00B074E6" w:rsidRPr="0020075A">
        <w:rPr>
          <w:sz w:val="22"/>
          <w:szCs w:val="22"/>
          <w:lang w:val="nl-NL"/>
        </w:rPr>
        <w:t>s</w:t>
      </w:r>
      <w:r w:rsidR="007D71D3" w:rsidRPr="0020075A">
        <w:rPr>
          <w:sz w:val="22"/>
          <w:szCs w:val="22"/>
          <w:lang w:val="nl-NL"/>
        </w:rPr>
        <w:t xml:space="preserve"> en</w:t>
      </w:r>
      <w:r w:rsidR="00B074E6" w:rsidRPr="0020075A">
        <w:rPr>
          <w:sz w:val="22"/>
          <w:szCs w:val="22"/>
          <w:lang w:val="nl-NL"/>
        </w:rPr>
        <w:t xml:space="preserve"> speciaalbier. </w:t>
      </w:r>
      <w:r w:rsidR="007D71D3" w:rsidRPr="0020075A">
        <w:rPr>
          <w:sz w:val="22"/>
          <w:szCs w:val="22"/>
          <w:lang w:val="nl-NL"/>
        </w:rPr>
        <w:t xml:space="preserve">Pilsmerk Primus werd geherlanceerd in november en het gamma werd uitgebreid met twee innovaties </w:t>
      </w:r>
      <w:r w:rsidR="00AA7749">
        <w:rPr>
          <w:sz w:val="22"/>
          <w:szCs w:val="22"/>
          <w:lang w:val="nl-NL"/>
        </w:rPr>
        <w:t xml:space="preserve">die </w:t>
      </w:r>
      <w:r w:rsidR="007D71D3" w:rsidRPr="0020075A">
        <w:rPr>
          <w:sz w:val="22"/>
          <w:szCs w:val="22"/>
          <w:lang w:val="nl-NL"/>
        </w:rPr>
        <w:t xml:space="preserve">aansluiten </w:t>
      </w:r>
      <w:r w:rsidR="00487160">
        <w:rPr>
          <w:sz w:val="22"/>
          <w:szCs w:val="22"/>
          <w:lang w:val="nl-NL"/>
        </w:rPr>
        <w:t>bij</w:t>
      </w:r>
      <w:r w:rsidR="007D71D3" w:rsidRPr="0020075A">
        <w:rPr>
          <w:sz w:val="22"/>
          <w:szCs w:val="22"/>
          <w:lang w:val="nl-NL"/>
        </w:rPr>
        <w:t xml:space="preserve"> markt</w:t>
      </w:r>
      <w:r w:rsidR="00487160">
        <w:rPr>
          <w:sz w:val="22"/>
          <w:szCs w:val="22"/>
          <w:lang w:val="nl-NL"/>
        </w:rPr>
        <w:t>tendensen</w:t>
      </w:r>
      <w:r w:rsidR="007D71D3" w:rsidRPr="0020075A">
        <w:rPr>
          <w:sz w:val="22"/>
          <w:szCs w:val="22"/>
          <w:lang w:val="nl-NL"/>
        </w:rPr>
        <w:t>. Er werd een variant met een lager alcoholpercentage gelanceerd en een alcoholvrije variant. Deze bredere herlancering van het merk zal vanaf 2026 ook zichtbaar worden in de markt met gepaste merkondersteuning. </w:t>
      </w:r>
      <w:r w:rsidR="007D71D3" w:rsidRPr="0020075A">
        <w:rPr>
          <w:sz w:val="22"/>
          <w:szCs w:val="22"/>
        </w:rPr>
        <w:t> </w:t>
      </w:r>
      <w:r w:rsidR="007D71D3">
        <w:br/>
      </w:r>
      <w:r w:rsidR="007D71D3" w:rsidRPr="0020075A">
        <w:rPr>
          <w:sz w:val="22"/>
          <w:szCs w:val="22"/>
        </w:rPr>
        <w:t> </w:t>
      </w:r>
      <w:r w:rsidR="007D71D3">
        <w:br/>
      </w:r>
      <w:r w:rsidR="007D71D3" w:rsidRPr="0020075A">
        <w:rPr>
          <w:sz w:val="22"/>
          <w:szCs w:val="22"/>
          <w:lang w:val="nl-NL"/>
        </w:rPr>
        <w:t>Het speciaalbier SUPER 8 zet</w:t>
      </w:r>
      <w:r w:rsidR="006829AF" w:rsidRPr="0020075A">
        <w:rPr>
          <w:sz w:val="22"/>
          <w:szCs w:val="22"/>
          <w:lang w:val="nl-NL"/>
        </w:rPr>
        <w:t>te</w:t>
      </w:r>
      <w:r w:rsidR="007D71D3" w:rsidRPr="0020075A">
        <w:rPr>
          <w:sz w:val="22"/>
          <w:szCs w:val="22"/>
          <w:lang w:val="nl-NL"/>
        </w:rPr>
        <w:t xml:space="preserve"> zijn groei verder. Nieuwe contracten werden afgesloten in het horeca -en eventsegment en het merk was prominenter aanwezig op grote festivals in België en Frankrijk. In overeenstemming met veranderende consumententrends werden bijkomende innovaties gelanceerd. </w:t>
      </w:r>
      <w:r w:rsidR="007D71D3" w:rsidRPr="0020075A">
        <w:rPr>
          <w:sz w:val="22"/>
          <w:szCs w:val="22"/>
        </w:rPr>
        <w:t> </w:t>
      </w:r>
      <w:r w:rsidR="007D71D3">
        <w:br/>
      </w:r>
      <w:r w:rsidR="007D71D3" w:rsidRPr="0020075A">
        <w:rPr>
          <w:sz w:val="22"/>
          <w:szCs w:val="22"/>
        </w:rPr>
        <w:t> </w:t>
      </w:r>
      <w:r w:rsidR="007D71D3">
        <w:br/>
      </w:r>
      <w:r w:rsidR="007D71D3" w:rsidRPr="0020075A">
        <w:rPr>
          <w:sz w:val="22"/>
          <w:szCs w:val="22"/>
          <w:lang w:val="nl-NL"/>
        </w:rPr>
        <w:t>Internationaal werkte de groep verder aan haar expansie in Frankrijk, waar nieuwe distributiecontracten en merkactivaties op festivals zorgden voor groei in het event -en horecasegment. </w:t>
      </w:r>
      <w:r w:rsidR="007D71D3" w:rsidRPr="0020075A">
        <w:rPr>
          <w:sz w:val="22"/>
          <w:szCs w:val="22"/>
        </w:rPr>
        <w:t> </w:t>
      </w:r>
      <w:r w:rsidR="007D71D3">
        <w:br/>
      </w:r>
      <w:r w:rsidR="007D71D3" w:rsidRPr="0020075A">
        <w:rPr>
          <w:sz w:val="22"/>
          <w:szCs w:val="22"/>
        </w:rPr>
        <w:t> </w:t>
      </w:r>
      <w:r w:rsidR="007D71D3">
        <w:br/>
      </w:r>
      <w:r w:rsidR="007D71D3" w:rsidRPr="0020075A">
        <w:rPr>
          <w:sz w:val="22"/>
          <w:szCs w:val="22"/>
          <w:lang w:val="nl-NL"/>
        </w:rPr>
        <w:t>In de loop van 2025 werd een nieuw retail team aangeworven met het oog op het opstellen en uitrollen van </w:t>
      </w:r>
      <w:r w:rsidR="00615AE7" w:rsidRPr="0020075A">
        <w:rPr>
          <w:sz w:val="22"/>
          <w:szCs w:val="22"/>
          <w:lang w:val="nl-NL"/>
        </w:rPr>
        <w:t>sterke</w:t>
      </w:r>
      <w:r w:rsidR="00615AE7" w:rsidRPr="0020075A">
        <w:rPr>
          <w:sz w:val="22"/>
          <w:szCs w:val="22"/>
          <w:u w:val="single"/>
          <w:lang w:val="nl-NL"/>
        </w:rPr>
        <w:t xml:space="preserve"> </w:t>
      </w:r>
      <w:r w:rsidR="007D71D3" w:rsidRPr="0020075A">
        <w:rPr>
          <w:sz w:val="22"/>
          <w:szCs w:val="22"/>
          <w:lang w:val="nl-NL"/>
        </w:rPr>
        <w:t>commerciële plannen voor de retail</w:t>
      </w:r>
      <w:r w:rsidR="006829AF" w:rsidRPr="0020075A">
        <w:rPr>
          <w:sz w:val="22"/>
          <w:szCs w:val="22"/>
          <w:lang w:val="nl-NL"/>
        </w:rPr>
        <w:t xml:space="preserve"> in 2026</w:t>
      </w:r>
      <w:r w:rsidR="007D71D3" w:rsidRPr="0020075A">
        <w:rPr>
          <w:sz w:val="22"/>
          <w:szCs w:val="22"/>
          <w:lang w:val="nl-NL"/>
        </w:rPr>
        <w:t>. </w:t>
      </w:r>
      <w:r w:rsidR="007D71D3" w:rsidRPr="0020075A">
        <w:rPr>
          <w:sz w:val="22"/>
          <w:szCs w:val="22"/>
        </w:rPr>
        <w:t> </w:t>
      </w:r>
      <w:r w:rsidR="007D71D3">
        <w:br/>
      </w:r>
      <w:r w:rsidR="007D71D3" w:rsidRPr="0020075A">
        <w:rPr>
          <w:sz w:val="22"/>
          <w:szCs w:val="22"/>
        </w:rPr>
        <w:t> </w:t>
      </w:r>
      <w:r w:rsidR="007D71D3">
        <w:br/>
      </w:r>
      <w:r w:rsidR="007D71D3" w:rsidRPr="00A93069">
        <w:rPr>
          <w:b/>
          <w:bCs/>
          <w:sz w:val="22"/>
          <w:szCs w:val="22"/>
          <w:lang w:val="nl-NL"/>
        </w:rPr>
        <w:t>Bijkomende stappen gericht op structureel herstel van de rendabiliteit</w:t>
      </w:r>
      <w:r w:rsidR="007D71D3" w:rsidRPr="00A93069">
        <w:rPr>
          <w:sz w:val="22"/>
          <w:szCs w:val="22"/>
        </w:rPr>
        <w:t> </w:t>
      </w:r>
      <w:r w:rsidR="00240D64">
        <w:br/>
      </w:r>
      <w:r w:rsidR="007D71D3">
        <w:br/>
      </w:r>
      <w:r w:rsidR="007D71D3" w:rsidRPr="0020075A">
        <w:rPr>
          <w:sz w:val="22"/>
          <w:szCs w:val="22"/>
          <w:lang w:val="nl-NL"/>
        </w:rPr>
        <w:t>Tegelijk nam de groep in 2025 initiatieven om de rendabiliteit structureel te verbeteren. Gedurende het jaar werd een wijziging doorgevoerd in het personeelsbestand en werd</w:t>
      </w:r>
      <w:r w:rsidR="005156BD">
        <w:rPr>
          <w:sz w:val="22"/>
          <w:szCs w:val="22"/>
          <w:lang w:val="nl-NL"/>
        </w:rPr>
        <w:t xml:space="preserve"> afscheid</w:t>
      </w:r>
      <w:r w:rsidR="007D71D3" w:rsidRPr="0020075A">
        <w:rPr>
          <w:sz w:val="22"/>
          <w:szCs w:val="22"/>
          <w:lang w:val="nl-NL"/>
        </w:rPr>
        <w:t xml:space="preserve"> genomen van 49 medewerkers van de brouwerij. </w:t>
      </w:r>
      <w:r w:rsidR="002E08D9" w:rsidRPr="0020075A">
        <w:rPr>
          <w:sz w:val="22"/>
          <w:szCs w:val="22"/>
          <w:lang w:val="nl-NL"/>
        </w:rPr>
        <w:t>D</w:t>
      </w:r>
      <w:r w:rsidR="007D71D3" w:rsidRPr="0020075A">
        <w:rPr>
          <w:sz w:val="22"/>
          <w:szCs w:val="22"/>
          <w:lang w:val="nl-NL"/>
        </w:rPr>
        <w:t xml:space="preserve">e groep </w:t>
      </w:r>
      <w:r w:rsidR="002E08D9" w:rsidRPr="0020075A">
        <w:rPr>
          <w:sz w:val="22"/>
          <w:szCs w:val="22"/>
          <w:lang w:val="nl-NL"/>
        </w:rPr>
        <w:t xml:space="preserve">zorgde </w:t>
      </w:r>
      <w:r w:rsidR="007D71D3" w:rsidRPr="0020075A">
        <w:rPr>
          <w:sz w:val="22"/>
          <w:szCs w:val="22"/>
          <w:lang w:val="nl-NL"/>
        </w:rPr>
        <w:t xml:space="preserve">voor </w:t>
      </w:r>
      <w:r w:rsidR="002E08D9" w:rsidRPr="0020075A">
        <w:rPr>
          <w:sz w:val="22"/>
          <w:szCs w:val="22"/>
          <w:lang w:val="nl-NL"/>
        </w:rPr>
        <w:t xml:space="preserve">efficiëntere </w:t>
      </w:r>
      <w:r w:rsidR="007D71D3" w:rsidRPr="0020075A">
        <w:rPr>
          <w:sz w:val="22"/>
          <w:szCs w:val="22"/>
          <w:lang w:val="nl-NL"/>
        </w:rPr>
        <w:t>productieprocessen en strakker kostenbeheer. Deze rendabiliteitsinspanningen resulteerden in een daling van de recurrente bedrijfskosten.    </w:t>
      </w:r>
      <w:r w:rsidR="007D71D3" w:rsidRPr="0020075A">
        <w:rPr>
          <w:sz w:val="22"/>
          <w:szCs w:val="22"/>
        </w:rPr>
        <w:t> </w:t>
      </w:r>
      <w:r w:rsidR="007D71D3">
        <w:br/>
      </w:r>
      <w:r w:rsidR="007D71D3" w:rsidRPr="0020075A">
        <w:rPr>
          <w:sz w:val="22"/>
          <w:szCs w:val="22"/>
        </w:rPr>
        <w:t> </w:t>
      </w:r>
      <w:r w:rsidR="007D71D3">
        <w:br/>
      </w:r>
      <w:r w:rsidR="007D71D3" w:rsidRPr="00A93069">
        <w:rPr>
          <w:b/>
          <w:bCs/>
          <w:sz w:val="22"/>
          <w:szCs w:val="22"/>
          <w:lang w:val="nl-NL"/>
        </w:rPr>
        <w:t>Nieuwe CEO en radicale versnelling van strategische transformatie vanaf eind 2025</w:t>
      </w:r>
      <w:r w:rsidR="007D71D3" w:rsidRPr="00A93069">
        <w:rPr>
          <w:sz w:val="22"/>
          <w:szCs w:val="22"/>
        </w:rPr>
        <w:t> </w:t>
      </w:r>
      <w:r w:rsidR="007D71D3">
        <w:br/>
      </w:r>
      <w:r w:rsidR="00240D64">
        <w:br/>
      </w:r>
      <w:r w:rsidR="007D71D3" w:rsidRPr="0020075A">
        <w:rPr>
          <w:sz w:val="22"/>
          <w:szCs w:val="22"/>
          <w:lang w:val="nl-NL"/>
        </w:rPr>
        <w:t>Co.Br.Ha. versterkte in 2025 haar bestuursorganen met de uitbreiding van de raad van bestuur en toevoeging van bijkomende expertise en ervaring. In het vierde kwartaal van 2025 werd een belangrijke stap gezet in de versnelling van de transformatie met de aanstelling van een nieuwe, niet</w:t>
      </w:r>
      <w:r w:rsidR="004504D1" w:rsidRPr="0020075A">
        <w:rPr>
          <w:sz w:val="22"/>
          <w:szCs w:val="22"/>
          <w:lang w:val="nl-NL"/>
        </w:rPr>
        <w:t>-</w:t>
      </w:r>
      <w:r w:rsidR="007D71D3" w:rsidRPr="0020075A">
        <w:rPr>
          <w:sz w:val="22"/>
          <w:szCs w:val="22"/>
          <w:lang w:val="nl-NL"/>
        </w:rPr>
        <w:t>familiale CEO. </w:t>
      </w:r>
      <w:r w:rsidR="004504D1" w:rsidRPr="0020075A">
        <w:rPr>
          <w:sz w:val="22"/>
          <w:szCs w:val="22"/>
        </w:rPr>
        <w:t xml:space="preserve"> </w:t>
      </w:r>
      <w:r w:rsidR="007D71D3">
        <w:br/>
      </w:r>
      <w:r w:rsidR="00B63450">
        <w:rPr>
          <w:b/>
          <w:bCs/>
        </w:rPr>
        <w:br/>
      </w:r>
      <w:r w:rsidR="004409E3">
        <w:rPr>
          <w:b/>
          <w:bCs/>
        </w:rPr>
        <w:t>4</w:t>
      </w:r>
      <w:r w:rsidR="0077663A" w:rsidRPr="00A93069">
        <w:rPr>
          <w:b/>
          <w:bCs/>
        </w:rPr>
        <w:t xml:space="preserve">. </w:t>
      </w:r>
      <w:r w:rsidR="006E5644" w:rsidRPr="00A93069">
        <w:rPr>
          <w:b/>
          <w:bCs/>
        </w:rPr>
        <w:t>Financiële resultaten</w:t>
      </w:r>
    </w:p>
    <w:p w14:paraId="0C8D70B1" w14:textId="3749F188" w:rsidR="002C595C" w:rsidRPr="00A93069" w:rsidRDefault="004409E3" w:rsidP="002C595C">
      <w:pPr>
        <w:pBdr>
          <w:top w:val="nil"/>
          <w:left w:val="nil"/>
          <w:bottom w:val="nil"/>
          <w:right w:val="nil"/>
          <w:between w:val="nil"/>
          <w:bar w:val="nil"/>
        </w:pBdr>
        <w:spacing w:after="0" w:line="240" w:lineRule="auto"/>
        <w:jc w:val="both"/>
        <w:rPr>
          <w:rFonts w:eastAsia="Arial Unicode MS" w:cs="Arial Unicode MS"/>
          <w:b/>
          <w:bCs/>
          <w:color w:val="000000"/>
          <w:kern w:val="0"/>
          <w:sz w:val="22"/>
          <w:szCs w:val="22"/>
          <w:bdr w:val="nil"/>
          <w:lang w:val="nl-NL" w:eastAsia="nl-BE"/>
          <w14:textOutline w14:w="0" w14:cap="flat" w14:cmpd="sng" w14:algn="ctr">
            <w14:noFill/>
            <w14:prstDash w14:val="solid"/>
            <w14:bevel/>
          </w14:textOutline>
          <w14:ligatures w14:val="none"/>
        </w:rPr>
      </w:pPr>
      <w:r>
        <w:rPr>
          <w:rFonts w:eastAsia="Arial Unicode MS" w:cs="Arial Unicode MS"/>
          <w:b/>
          <w:bCs/>
          <w:color w:val="000000"/>
          <w:kern w:val="0"/>
          <w:sz w:val="22"/>
          <w:szCs w:val="22"/>
          <w:bdr w:val="nil"/>
          <w:lang w:val="nl-NL" w:eastAsia="nl-BE"/>
          <w14:textOutline w14:w="0" w14:cap="flat" w14:cmpd="sng" w14:algn="ctr">
            <w14:noFill/>
            <w14:prstDash w14:val="solid"/>
            <w14:bevel/>
          </w14:textOutline>
          <w14:ligatures w14:val="none"/>
        </w:rPr>
        <w:t>4</w:t>
      </w:r>
      <w:r w:rsidR="002C595C" w:rsidRPr="00A93069">
        <w:rPr>
          <w:rFonts w:eastAsia="Arial Unicode MS" w:cs="Arial Unicode MS"/>
          <w:b/>
          <w:bCs/>
          <w:color w:val="000000"/>
          <w:kern w:val="0"/>
          <w:sz w:val="22"/>
          <w:szCs w:val="22"/>
          <w:bdr w:val="nil"/>
          <w:lang w:val="nl-NL" w:eastAsia="nl-BE"/>
          <w14:textOutline w14:w="0" w14:cap="flat" w14:cmpd="sng" w14:algn="ctr">
            <w14:noFill/>
            <w14:prstDash w14:val="solid"/>
            <w14:bevel/>
          </w14:textOutline>
          <w14:ligatures w14:val="none"/>
        </w:rPr>
        <w:t>.1. Resultatenrekening</w:t>
      </w:r>
    </w:p>
    <w:p w14:paraId="2928E4FC" w14:textId="77777777" w:rsidR="002C595C" w:rsidRPr="00A93069" w:rsidRDefault="002C595C" w:rsidP="002C595C">
      <w:pPr>
        <w:pBdr>
          <w:top w:val="nil"/>
          <w:left w:val="nil"/>
          <w:bottom w:val="nil"/>
          <w:right w:val="nil"/>
          <w:between w:val="nil"/>
          <w:bar w:val="nil"/>
        </w:pBdr>
        <w:spacing w:after="0" w:line="240" w:lineRule="auto"/>
        <w:jc w:val="both"/>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p>
    <w:p w14:paraId="20E5513E" w14:textId="116DBE52" w:rsidR="002C595C" w:rsidRPr="00A93069" w:rsidRDefault="002C595C" w:rsidP="00A93069">
      <w:pPr>
        <w:pBdr>
          <w:top w:val="nil"/>
          <w:left w:val="nil"/>
          <w:bottom w:val="nil"/>
          <w:right w:val="nil"/>
          <w:between w:val="nil"/>
          <w:bar w:val="nil"/>
        </w:pBdr>
        <w:spacing w:after="0" w:line="240" w:lineRule="auto"/>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De totale omzet daalt met 2,7% (-3,0 miljoen euro) naar 109,1 miljoen euro in 2025</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ondanks een stijging van de verkoopvolumes bier en frisdrank van 0,8%. De landen -en productmix leidt tot een negatief mixeffect en een omzetdaling </w:t>
      </w:r>
      <w:r w:rsidR="00F9116B">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in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dranken van -2,6% (-2,6 miljoen euro). </w:t>
      </w:r>
    </w:p>
    <w:p w14:paraId="186A8C1F" w14:textId="77777777" w:rsidR="002C595C" w:rsidRPr="00A93069" w:rsidRDefault="002C595C" w:rsidP="00A93069">
      <w:pPr>
        <w:pBdr>
          <w:top w:val="nil"/>
          <w:left w:val="nil"/>
          <w:bottom w:val="nil"/>
          <w:right w:val="nil"/>
          <w:between w:val="nil"/>
          <w:bar w:val="nil"/>
        </w:pBdr>
        <w:spacing w:after="0" w:line="240" w:lineRule="auto"/>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p>
    <w:p w14:paraId="4A8E3782" w14:textId="5AC24A0B" w:rsidR="002C595C" w:rsidRPr="00A93069" w:rsidRDefault="002C595C" w:rsidP="00A93069">
      <w:pPr>
        <w:pBdr>
          <w:top w:val="nil"/>
          <w:left w:val="nil"/>
          <w:bottom w:val="nil"/>
          <w:right w:val="nil"/>
          <w:between w:val="nil"/>
          <w:bar w:val="nil"/>
        </w:pBdr>
        <w:spacing w:after="0" w:line="240" w:lineRule="auto"/>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lastRenderedPageBreak/>
        <w:t xml:space="preserve">De totale huuropbrengsten (huren en huurgerelateerde doorrekeningen) in 2025 bedragen </w:t>
      </w:r>
      <w:r w:rsidR="00CF79BE">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br/>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14,8 miljoen</w:t>
      </w:r>
      <w:r w:rsidR="00E7430C">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euro</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waarvan 8,8 miljoe</w:t>
      </w:r>
      <w:r w:rsidR="00D5709D">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n</w:t>
      </w:r>
      <w:r w:rsidR="00E7430C">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euro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huurinkomsten uit eigen panden. De totale huuropbrengsten dalen met 2,8% (-0,4 miljoen euro), vooral door de verkoop van niet-strategische panden. De groep heeft eind 2025 in totaal 284 horecapanden in eigendom </w:t>
      </w:r>
      <w:r w:rsidR="003A1B94">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en</w:t>
      </w:r>
      <w:r w:rsidR="003A1B94"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236 horecapanden in hoofdhuur in België, Nederland &amp; Frankrijk.</w:t>
      </w:r>
    </w:p>
    <w:p w14:paraId="4CF4638C"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strike/>
          <w:color w:val="000000"/>
          <w:kern w:val="0"/>
          <w:sz w:val="22"/>
          <w:szCs w:val="22"/>
          <w:u w:color="000000"/>
          <w:bdr w:val="nil"/>
          <w:lang w:val="nl-NL" w:eastAsia="nl-BE"/>
          <w14:textOutline w14:w="0" w14:cap="flat" w14:cmpd="sng" w14:algn="ctr">
            <w14:noFill/>
            <w14:prstDash w14:val="solid"/>
            <w14:bevel/>
          </w14:textOutline>
          <w14:ligatures w14:val="none"/>
        </w:rPr>
      </w:pPr>
    </w:p>
    <w:p w14:paraId="569BCC39" w14:textId="77777777" w:rsidR="002C595C" w:rsidRPr="00A93069" w:rsidRDefault="002C595C" w:rsidP="00A93069">
      <w:pPr>
        <w:pBdr>
          <w:top w:val="nil"/>
          <w:left w:val="nil"/>
          <w:bottom w:val="nil"/>
          <w:right w:val="nil"/>
          <w:between w:val="nil"/>
          <w:bar w:val="nil"/>
        </w:pBdr>
        <w:spacing w:after="0" w:line="240" w:lineRule="auto"/>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De ‘Andere bedrijfsopbrengsten’ omvatten de meerwaarde op de verkoop van horecapanden. Er werd in kalenderjaar 2025 een meerwaarde gerealiseerd van 3,1 miljoen euro tegenover 1,5 miljoen euro in 2024. </w:t>
      </w:r>
    </w:p>
    <w:p w14:paraId="31F682CC" w14:textId="77777777" w:rsidR="002C595C" w:rsidRPr="00A93069" w:rsidRDefault="002C595C" w:rsidP="00A93069">
      <w:pPr>
        <w:pBdr>
          <w:top w:val="nil"/>
          <w:left w:val="nil"/>
          <w:bottom w:val="nil"/>
          <w:right w:val="nil"/>
          <w:between w:val="nil"/>
          <w:bar w:val="nil"/>
        </w:pBdr>
        <w:spacing w:after="0" w:line="240" w:lineRule="auto"/>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pPr>
    </w:p>
    <w:p w14:paraId="590488A6"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Een niet-recurrente bedrijfsopbrengst werd geboekt ten bedrage van +1,5 miljoen euro, en betreft een aanpassing van de historisch hoge leeggoed provisie. </w:t>
      </w:r>
    </w:p>
    <w:p w14:paraId="1DFB3F85"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4AC0846B" w14:textId="36D6E875"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Het totaal van de bedrijfsopbrengsten bedraagt in 2025 </w:t>
      </w:r>
      <w:r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121,</w:t>
      </w:r>
      <w:r w:rsidR="006730CE"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8 </w:t>
      </w:r>
      <w:r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miljoen</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euro, hetzij een stijging van 1,</w:t>
      </w:r>
      <w:r w:rsidR="006730CE">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5</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miljoen euro (+1,1%) tegenover 2024. </w:t>
      </w:r>
    </w:p>
    <w:p w14:paraId="56A4D210"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0C1B9DD0" w14:textId="2FF09EE0"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De bedrijfskosten bedragen in 2025 130,0 miljoen euro tegenover 126,9 miljoen</w:t>
      </w:r>
      <w:r w:rsidR="00E7430C">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euro</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in 2024. </w:t>
      </w:r>
      <w:r w:rsidRPr="00A93069">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De recurrente bedrijfskosten bedragen 123,2 miljoen euro en dalen met 2,1% (-2,6 miljoen euro).</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De niet-recurrente bedrijfskosten bedragen 6,8 miljoen euro in 2025. De kost verbonden aan </w:t>
      </w:r>
      <w:r w:rsidRPr="00A93069">
        <w:rPr>
          <w:rFonts w:eastAsia="Arial Unicode MS" w:cs="Arial Unicode MS"/>
          <w:color w:val="000000"/>
          <w:kern w:val="0"/>
          <w:sz w:val="22"/>
          <w:szCs w:val="22"/>
          <w:u w:color="000000"/>
          <w:bdr w:val="nil"/>
          <w:lang w:eastAsia="nl-BE"/>
          <w14:textOutline w14:w="0" w14:cap="flat" w14:cmpd="sng" w14:algn="ctr">
            <w14:noFill/>
            <w14:prstDash w14:val="solid"/>
            <w14:bevel/>
          </w14:textOutline>
          <w14:ligatures w14:val="none"/>
        </w:rPr>
        <w:t xml:space="preserve">de optimalisatie van de personeelsbezetting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bedraagt in 2025 2,9 miljoen euro, tegenover 1,1 miljoen euro in 2024. Daarnaast zijn belangrijke non-cash correcties als niet-recurrente bedrijfskosten opgenomen (in </w:t>
      </w:r>
      <w:r w:rsidR="00D5709D">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het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bijzonder </w:t>
      </w:r>
      <w:r w:rsidR="00E7430C">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een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waardecorrectie op de voorraden </w:t>
      </w:r>
      <w:r w:rsidR="00D5709D">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en</w:t>
      </w:r>
      <w:r w:rsidR="00D5709D"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afwaardering op de netto activa van de Canadese dochtermaatschappij</w:t>
      </w:r>
      <w:r w:rsidR="00E7430C">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p>
    <w:p w14:paraId="1A81DA8E"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02AA3096" w14:textId="1F124EFF" w:rsidR="002C595C" w:rsidRPr="00A93069" w:rsidRDefault="002C595C" w:rsidP="00A93069">
      <w:pPr>
        <w:pBdr>
          <w:top w:val="nil"/>
          <w:left w:val="nil"/>
          <w:bottom w:val="nil"/>
          <w:right w:val="nil"/>
          <w:between w:val="nil"/>
          <w:bar w:val="nil"/>
        </w:pBdr>
        <w:spacing w:after="0" w:line="240" w:lineRule="auto"/>
        <w:rPr>
          <w:rFonts w:eastAsia="Calibri Light" w:cs="Calibri Light"/>
          <w:color w:val="FF0000"/>
          <w:kern w:val="0"/>
          <w:sz w:val="22"/>
          <w:szCs w:val="22"/>
          <w:u w:color="FF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De kosten van ‘</w:t>
      </w:r>
      <w:r w:rsidR="00E7430C" w:rsidRPr="00A93069">
        <w:rPr>
          <w:rFonts w:eastAsia="Arial Unicode MS" w:cs="Arial Unicode MS"/>
          <w:color w:val="000000"/>
          <w:kern w:val="0"/>
          <w:sz w:val="22"/>
          <w:szCs w:val="22"/>
          <w:u w:color="000000"/>
          <w:bdr w:val="nil"/>
          <w:lang w:eastAsia="nl-BE"/>
          <w14:textOutline w14:w="0" w14:cap="flat" w14:cmpd="sng" w14:algn="ctr">
            <w14:noFill/>
            <w14:prstDash w14:val="solid"/>
            <w14:bevel/>
          </w14:textOutline>
          <w14:ligatures w14:val="none"/>
        </w:rPr>
        <w:t>handelsgoederen, grond- en hulpstoffen</w:t>
      </w:r>
      <w:r w:rsidR="00E7430C"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dalen met 7,1% (-2,5 miljoen euro), en de personeelskosten dalen met 5,0% (-1,7 miljoen euro). ‘</w:t>
      </w:r>
      <w:r w:rsidR="00000759">
        <w:rPr>
          <w:rFonts w:eastAsia="Arial Unicode MS" w:cs="Arial Unicode MS"/>
          <w:color w:val="000000"/>
          <w:kern w:val="0"/>
          <w:sz w:val="22"/>
          <w:szCs w:val="22"/>
          <w:u w:color="000000"/>
          <w:bdr w:val="nil"/>
          <w:lang w:eastAsia="nl-BE"/>
          <w14:textOutline w14:w="0" w14:cap="flat" w14:cmpd="sng" w14:algn="ctr">
            <w14:noFill/>
            <w14:prstDash w14:val="solid"/>
            <w14:bevel/>
          </w14:textOutline>
          <w14:ligatures w14:val="none"/>
        </w:rPr>
        <w:t>D</w:t>
      </w:r>
      <w:r w:rsidR="00E7430C" w:rsidRPr="00A93069">
        <w:rPr>
          <w:rFonts w:eastAsia="Arial Unicode MS" w:cs="Arial Unicode MS"/>
          <w:color w:val="000000"/>
          <w:kern w:val="0"/>
          <w:sz w:val="22"/>
          <w:szCs w:val="22"/>
          <w:u w:color="000000"/>
          <w:bdr w:val="nil"/>
          <w:lang w:eastAsia="nl-BE"/>
          <w14:textOutline w14:w="0" w14:cap="flat" w14:cmpd="sng" w14:algn="ctr">
            <w14:noFill/>
            <w14:prstDash w14:val="solid"/>
            <w14:bevel/>
          </w14:textOutline>
          <w14:ligatures w14:val="none"/>
        </w:rPr>
        <w:t>iensten en diverse goederen</w:t>
      </w:r>
      <w:r w:rsidR="00E7430C"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stijgen </w:t>
      </w:r>
      <w:r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met 6,</w:t>
      </w:r>
      <w:r w:rsidR="006730CE"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1</w:t>
      </w:r>
      <w:r w:rsidRPr="00CE79EF">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w:t>
      </w: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 xml:space="preserve"> (+1,9 miljoen euro) met daarin de impact van de uitbesteding van logistieke diensten, meer extern personeel &amp; studiekosten ter ondersteuning van de transformatie. </w:t>
      </w:r>
    </w:p>
    <w:p w14:paraId="5616AA68"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3E942F4D" w14:textId="7483568F" w:rsidR="002C595C" w:rsidRPr="00A93069" w:rsidRDefault="002C595C" w:rsidP="00A93069">
      <w:pPr>
        <w:pBdr>
          <w:top w:val="nil"/>
          <w:left w:val="nil"/>
          <w:bottom w:val="nil"/>
          <w:right w:val="nil"/>
          <w:between w:val="nil"/>
          <w:bar w:val="nil"/>
        </w:pBdr>
        <w:spacing w:after="0" w:line="240" w:lineRule="auto"/>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Arial Unicode MS" w:cs="Arial Unicode MS"/>
          <w:color w:val="000000"/>
          <w:kern w:val="0"/>
          <w:sz w:val="22"/>
          <w:szCs w:val="22"/>
          <w:u w:color="000000"/>
          <w:bdr w:val="nil"/>
          <w:lang w:val="nl-NL" w:eastAsia="nl-BE"/>
          <w14:textOutline w14:w="0" w14:cap="flat" w14:cmpd="sng" w14:algn="ctr">
            <w14:noFill/>
            <w14:prstDash w14:val="solid"/>
            <w14:bevel/>
          </w14:textOutline>
          <w14:ligatures w14:val="none"/>
        </w:rPr>
        <w:t>Het recurrent bedrijfsresultaat bedraagt in 2025 -2,9 miljoen euro tegenover -5,5 miljoen euro in 2024 (+2,6 miljoen euro).</w:t>
      </w:r>
      <w:r w:rsidRPr="00A93069">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 De recurrente bedrijfscashflow (REBITDA) eindigt op 10,2 miljoen euro (</w:t>
      </w:r>
      <w:r w:rsidRPr="00CE79EF">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+1,</w:t>
      </w:r>
      <w:r w:rsidR="006730CE" w:rsidRPr="00CE79EF">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7</w:t>
      </w:r>
      <w:r w:rsidRPr="00CE79EF">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 miljoen</w:t>
      </w:r>
      <w:r w:rsidRPr="00A93069">
        <w:rPr>
          <w:rFonts w:eastAsia="Arial Unicode MS" w:cs="Arial Unicode MS"/>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 euro). </w:t>
      </w:r>
    </w:p>
    <w:p w14:paraId="55E76D72"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2A5E8B67" w14:textId="461A481C"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xml:space="preserve">De financiële kosten omvatten een afwaardering van financiële vaste activa ten bedrage van 1,3 miljoen euro. Een waarderingscorrectie werd doorgevoerd na stopzetting van de commerciële samenwerking met en de overeenkomst </w:t>
      </w:r>
      <w:r w:rsidR="00052631" w:rsidRPr="00A93069">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te</w:t>
      </w:r>
      <w:r w:rsidR="00E7430C">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r</w:t>
      </w:r>
      <w:r w:rsidR="00052631" w:rsidRPr="00A93069">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xml:space="preserve"> verkoop</w:t>
      </w:r>
      <w:r w:rsidRPr="00A93069">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xml:space="preserve"> van de participatie in een Franse craft beer-brouwer. </w:t>
      </w:r>
    </w:p>
    <w:p w14:paraId="0816B1DB" w14:textId="77777777" w:rsidR="002C595C" w:rsidRPr="00A93069" w:rsidRDefault="002C595C" w:rsidP="00A93069">
      <w:pPr>
        <w:pBdr>
          <w:top w:val="nil"/>
          <w:left w:val="nil"/>
          <w:bottom w:val="nil"/>
          <w:right w:val="nil"/>
          <w:between w:val="nil"/>
          <w:bar w:val="nil"/>
        </w:pBdr>
        <w:spacing w:after="0" w:line="240" w:lineRule="auto"/>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pPr>
    </w:p>
    <w:p w14:paraId="69B1E451" w14:textId="2C79C06F" w:rsidR="002C595C" w:rsidRPr="00A93069" w:rsidRDefault="002C595C" w:rsidP="00A93069">
      <w:pPr>
        <w:pBdr>
          <w:top w:val="nil"/>
          <w:left w:val="nil"/>
          <w:bottom w:val="nil"/>
          <w:right w:val="nil"/>
          <w:between w:val="nil"/>
          <w:bar w:val="nil"/>
        </w:pBdr>
        <w:spacing w:after="0" w:line="240" w:lineRule="auto"/>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pPr>
      <w:r w:rsidRPr="00A93069">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xml:space="preserve">Het nettoresultaat van 2025 eindigt op -11,4 miljoen euro, tegenover -8,2 miljoen euro in 2024. </w:t>
      </w:r>
      <w:r w:rsidRPr="00A93069">
        <w:rPr>
          <w:rFonts w:eastAsia="Arial Unicode MS" w:cs="Calibri"/>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Het recurrent nettoresultaat verbetert met 2,2 miljoen euro in </w:t>
      </w:r>
      <w:r w:rsidR="00E7430C">
        <w:rPr>
          <w:rFonts w:eastAsia="Arial Unicode MS" w:cs="Calibri"/>
          <w:b/>
          <w:bCs/>
          <w:color w:val="000000"/>
          <w:kern w:val="0"/>
          <w:sz w:val="22"/>
          <w:szCs w:val="22"/>
          <w:u w:color="000000"/>
          <w:bdr w:val="nil"/>
          <w:lang w:val="nl-NL" w:eastAsia="nl-BE"/>
          <w14:textOutline w14:w="0" w14:cap="flat" w14:cmpd="sng" w14:algn="ctr">
            <w14:noFill/>
            <w14:prstDash w14:val="solid"/>
            <w14:bevel/>
          </w14:textOutline>
          <w14:ligatures w14:val="none"/>
        </w:rPr>
        <w:t>20</w:t>
      </w:r>
      <w:r w:rsidRPr="00A93069">
        <w:rPr>
          <w:rFonts w:eastAsia="Arial Unicode MS" w:cs="Calibri"/>
          <w:b/>
          <w:bCs/>
          <w:color w:val="000000"/>
          <w:kern w:val="0"/>
          <w:sz w:val="22"/>
          <w:szCs w:val="22"/>
          <w:u w:color="000000"/>
          <w:bdr w:val="nil"/>
          <w:lang w:val="nl-NL" w:eastAsia="nl-BE"/>
          <w14:textOutline w14:w="0" w14:cap="flat" w14:cmpd="sng" w14:algn="ctr">
            <w14:noFill/>
            <w14:prstDash w14:val="solid"/>
            <w14:bevel/>
          </w14:textOutline>
          <w14:ligatures w14:val="none"/>
        </w:rPr>
        <w:t>25 en bedraagt -4,9 miljoen euro in vergelijking met -7,1 miljoen euro in 2024.</w:t>
      </w:r>
      <w:r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p>
    <w:p w14:paraId="64DBD028" w14:textId="77777777" w:rsidR="00A56ADF" w:rsidRDefault="00A56ADF" w:rsidP="000869D3">
      <w:pPr>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pPr>
    </w:p>
    <w:p w14:paraId="6A341714" w14:textId="77777777" w:rsidR="00B63450" w:rsidRDefault="004409E3" w:rsidP="000869D3">
      <w:pPr>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pPr>
      <w:r>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4</w:t>
      </w:r>
      <w:r w:rsidR="009227D2"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.2</w:t>
      </w:r>
      <w:r w:rsidR="00714841"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 Investeringen</w:t>
      </w:r>
      <w:r w:rsidR="0091220A">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ab/>
      </w:r>
      <w:r w:rsidR="0091220A">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91220A" w:rsidRPr="0081403C">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91220A" w:rsidRPr="00A93069">
        <w:rPr>
          <w:rFonts w:eastAsia="Calibri" w:cs="Calibri Light"/>
          <w:kern w:val="0"/>
          <w:sz w:val="22"/>
          <w:szCs w:val="22"/>
          <w14:ligatures w14:val="none"/>
        </w:rPr>
        <w:t>In 2025 werd door de groep Co.Br.Ha. voor een totaalbedrag van 11,1 miljoen euro geïnvesteerd in financiële, materiële en immateriële vaste activa tegenover 8,1 miljoen euro in 2024.</w:t>
      </w:r>
      <w:r w:rsidR="0081403C">
        <w:rPr>
          <w:rFonts w:eastAsia="Calibri" w:cs="Calibri Light"/>
          <w:kern w:val="0"/>
          <w:sz w:val="22"/>
          <w:szCs w:val="22"/>
          <w14:ligatures w14:val="none"/>
        </w:rPr>
        <w:br/>
      </w:r>
      <w:r w:rsidR="0081403C">
        <w:rPr>
          <w:rFonts w:eastAsia="Calibri" w:cs="Calibri Light"/>
          <w:kern w:val="0"/>
          <w:sz w:val="22"/>
          <w:szCs w:val="22"/>
          <w14:ligatures w14:val="none"/>
        </w:rPr>
        <w:br/>
      </w:r>
      <w:r w:rsidR="0091220A" w:rsidRPr="00A93069">
        <w:rPr>
          <w:rFonts w:eastAsia="Calibri" w:cs="Calibri Light"/>
          <w:kern w:val="0"/>
          <w:sz w:val="22"/>
          <w:szCs w:val="22"/>
          <w14:ligatures w14:val="none"/>
        </w:rPr>
        <w:t>Daarvan investeerde Brouwerij Haacht 5,5 miljoen euro, waarvan o.a. 2,1 miljoen euro in industriële investeringen, 3,0 miljoen euro in de uitbreiding en vervanging van het vaten-, kratten- en flessenpark, en 0,4 miljoen euro in commerciële en overige investeringen</w:t>
      </w:r>
      <w:r w:rsidR="0081403C">
        <w:rPr>
          <w:rFonts w:eastAsia="Calibri" w:cs="Calibri Light"/>
          <w:kern w:val="0"/>
          <w:sz w:val="22"/>
          <w:szCs w:val="22"/>
          <w14:ligatures w14:val="none"/>
        </w:rPr>
        <w:t>.</w:t>
      </w:r>
      <w:r w:rsidR="0081403C">
        <w:rPr>
          <w:rFonts w:eastAsia="Calibri" w:cs="Calibri Light"/>
          <w:kern w:val="0"/>
          <w:sz w:val="22"/>
          <w:szCs w:val="22"/>
          <w14:ligatures w14:val="none"/>
        </w:rPr>
        <w:br/>
      </w:r>
      <w:r w:rsidR="0081403C">
        <w:rPr>
          <w:rFonts w:eastAsia="Calibri" w:cs="Calibri Light"/>
          <w:kern w:val="0"/>
          <w:sz w:val="22"/>
          <w:szCs w:val="22"/>
          <w14:ligatures w14:val="none"/>
        </w:rPr>
        <w:br/>
      </w:r>
      <w:r w:rsidR="0091220A" w:rsidRPr="00A93069">
        <w:rPr>
          <w:rFonts w:eastAsia="Calibri" w:cs="Calibri Light"/>
          <w:kern w:val="0"/>
          <w:sz w:val="22"/>
          <w:szCs w:val="22"/>
          <w14:ligatures w14:val="none"/>
        </w:rPr>
        <w:lastRenderedPageBreak/>
        <w:t>Het resterende bedrag van 5,6 miljoen euro werd door andere groepsvennootschappen geïnvesteerd, waarvan 3,8 miljoen euro betrekking had op de aankoop en renovatie van horecapanden.</w:t>
      </w:r>
      <w:r w:rsidR="00186811">
        <w:rPr>
          <w:rFonts w:eastAsia="Calibri" w:cs="Calibri Light"/>
          <w:kern w:val="0"/>
          <w:sz w:val="22"/>
          <w:szCs w:val="22"/>
          <w14:ligatures w14:val="none"/>
        </w:rPr>
        <w:br/>
      </w:r>
      <w:r w:rsidR="00714841"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4</w:t>
      </w:r>
      <w:r w:rsidR="00714841"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.3. Schuldpositie</w:t>
      </w:r>
      <w:r w:rsidR="0081403C">
        <w:rPr>
          <w:rFonts w:eastAsia="Calibri Light" w:cs="Calibri Light"/>
          <w:b/>
          <w:bCs/>
          <w:sz w:val="22"/>
          <w:szCs w:val="22"/>
          <w:bdr w:val="nil"/>
        </w:rPr>
        <w:tab/>
      </w:r>
      <w:r w:rsidR="00B07B2C"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B07B2C"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81403C" w:rsidRPr="00A93069">
        <w:rPr>
          <w:rFonts w:eastAsia="Arial Unicode MS" w:cs="Arial Unicode MS"/>
          <w:kern w:val="0"/>
          <w:sz w:val="22"/>
          <w:szCs w:val="22"/>
          <w:u w:color="000000"/>
          <w:lang w:eastAsia="nl-BE"/>
          <w14:textOutline w14:w="0" w14:cap="flat" w14:cmpd="sng" w14:algn="ctr">
            <w14:noFill/>
            <w14:prstDash w14:val="solid"/>
            <w14:bevel/>
          </w14:textOutline>
          <w14:ligatures w14:val="none"/>
        </w:rPr>
        <w:t>De sterke verbetering van het werkkapitaal en de cash van de verkoop van niet-strategische panden dragen in 2025 bij tot een daling van de netto financiële schuld tegenover 2024. De netto financiële schulden bedragen per jaareinde 2025 21,2 miljoen euro tegenover 23,9 miljoen euro per einde 2024 (-2,7 miljoen euro).</w:t>
      </w:r>
      <w:r w:rsidR="0089208A">
        <w:rPr>
          <w:rFonts w:eastAsia="Arial Unicode MS" w:cs="Arial Unicode MS"/>
          <w:kern w:val="0"/>
          <w:sz w:val="22"/>
          <w:szCs w:val="22"/>
          <w:u w:color="000000"/>
          <w:lang w:eastAsia="nl-BE"/>
          <w14:textOutline w14:w="0" w14:cap="flat" w14:cmpd="sng" w14:algn="ctr">
            <w14:noFill/>
            <w14:prstDash w14:val="solid"/>
            <w14:bevel/>
          </w14:textOutline>
          <w14:ligatures w14:val="none"/>
        </w:rPr>
        <w:t xml:space="preserve"> </w:t>
      </w:r>
      <w:r w:rsidR="0081403C" w:rsidRPr="00A93069">
        <w:rPr>
          <w:rFonts w:eastAsia="Arial Unicode MS" w:cs="Calibri Light"/>
          <w:kern w:val="0"/>
          <w:sz w:val="22"/>
          <w:szCs w:val="22"/>
          <w:u w:color="000000"/>
          <w:lang w:val="nl-NL" w:eastAsia="nl-BE"/>
          <w14:textOutline w14:w="0" w14:cap="flat" w14:cmpd="sng" w14:algn="ctr">
            <w14:noFill/>
            <w14:prstDash w14:val="solid"/>
            <w14:bevel/>
          </w14:textOutline>
          <w14:ligatures w14:val="none"/>
        </w:rPr>
        <w:t xml:space="preserve">Eind 2025 werden in totaal 25,1 miljoen aan kredieten opgenomen, op een totaal beschikbaar krediet van 50 miljoen euro.  </w:t>
      </w:r>
      <w:r w:rsidR="008A76F0">
        <w:rPr>
          <w:rFonts w:eastAsia="Arial Unicode MS" w:cs="Calibri Light"/>
          <w:kern w:val="0"/>
          <w:sz w:val="22"/>
          <w:szCs w:val="22"/>
          <w:u w:color="000000"/>
          <w:lang w:val="nl-NL" w:eastAsia="nl-BE"/>
          <w14:textOutline w14:w="0" w14:cap="flat" w14:cmpd="sng" w14:algn="ctr">
            <w14:noFill/>
            <w14:prstDash w14:val="solid"/>
            <w14:bevel/>
          </w14:textOutline>
          <w14:ligatures w14:val="none"/>
        </w:rPr>
        <w:br/>
      </w:r>
      <w:r w:rsidR="00714841"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4</w:t>
      </w:r>
      <w:r w:rsidR="00EA72A0"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.4. Dividen</w:t>
      </w:r>
      <w:r w:rsidR="0089208A">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d</w:t>
      </w:r>
      <w:r w:rsidR="00EA72A0"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voorstel</w:t>
      </w:r>
      <w:r w:rsidR="00EA72A0" w:rsidRPr="00A93069">
        <w:rPr>
          <w:rFonts w:eastAsia="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ab/>
      </w:r>
      <w:r w:rsidR="001C0B2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1C0B2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9227D2" w:rsidRPr="00A93069">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t xml:space="preserve">De Raad van Bestuur zal aan de Algemene Vergadering van Co.Br.Ha. voorstellen om </w:t>
      </w:r>
      <w:r w:rsidR="009227D2" w:rsidRPr="00A93069">
        <w:rPr>
          <w:rFonts w:eastAsia="Arial Unicode MS" w:cs="Arial Unicode MS"/>
          <w:kern w:val="0"/>
          <w:sz w:val="22"/>
          <w:szCs w:val="22"/>
          <w:u w:color="FF0000"/>
          <w:bdr w:val="nil"/>
          <w:lang w:eastAsia="nl-BE"/>
          <w14:textOutline w14:w="0" w14:cap="flat" w14:cmpd="sng" w14:algn="ctr">
            <w14:noFill/>
            <w14:prstDash w14:val="solid"/>
            <w14:bevel/>
          </w14:textOutline>
          <w14:ligatures w14:val="none"/>
        </w:rPr>
        <w:t xml:space="preserve">geen dividend uit te keren voor het boekjaar 2025. </w:t>
      </w:r>
      <w:r w:rsidR="00B10828" w:rsidRPr="00A93069">
        <w:rPr>
          <w:rFonts w:eastAsia="Arial Unicode MS" w:cs="Arial Unicode MS"/>
          <w:kern w:val="0"/>
          <w:sz w:val="22"/>
          <w:szCs w:val="22"/>
          <w:u w:color="FF0000"/>
          <w:bdr w:val="nil"/>
          <w:lang w:eastAsia="nl-BE"/>
          <w14:textOutline w14:w="0" w14:cap="flat" w14:cmpd="sng" w14:algn="ctr">
            <w14:noFill/>
            <w14:prstDash w14:val="solid"/>
            <w14:bevel/>
          </w14:textOutline>
          <w14:ligatures w14:val="none"/>
        </w:rPr>
        <w:tab/>
      </w:r>
      <w:r w:rsidR="00B10828" w:rsidRPr="00A93069">
        <w:rPr>
          <w:rFonts w:eastAsia="Arial Unicode MS" w:cs="Arial Unicode MS"/>
          <w:kern w:val="0"/>
          <w:sz w:val="22"/>
          <w:szCs w:val="22"/>
          <w:u w:color="FF0000"/>
          <w:bdr w:val="nil"/>
          <w:lang w:eastAsia="nl-BE"/>
          <w14:textOutline w14:w="0" w14:cap="flat" w14:cmpd="sng" w14:algn="ctr">
            <w14:noFill/>
            <w14:prstDash w14:val="solid"/>
            <w14:bevel/>
          </w14:textOutline>
          <w14:ligatures w14:val="none"/>
        </w:rPr>
        <w:br/>
      </w:r>
      <w:r w:rsidR="00B10828" w:rsidRPr="00A93069">
        <w:rPr>
          <w:rFonts w:eastAsia="Arial Unicode MS" w:cs="Arial Unicode MS"/>
          <w:kern w:val="0"/>
          <w:sz w:val="22"/>
          <w:szCs w:val="22"/>
          <w:u w:color="FF0000"/>
          <w:bdr w:val="nil"/>
          <w:lang w:eastAsia="nl-BE"/>
          <w14:textOutline w14:w="0" w14:cap="flat" w14:cmpd="sng" w14:algn="ctr">
            <w14:noFill/>
            <w14:prstDash w14:val="solid"/>
            <w14:bevel/>
          </w14:textOutline>
          <w14:ligatures w14:val="none"/>
        </w:rPr>
        <w:br/>
      </w:r>
      <w:r>
        <w:rPr>
          <w:rFonts w:eastAsia="Calibri Light" w:cs="Calibri Light"/>
          <w:b/>
          <w:bCs/>
          <w:kern w:val="0"/>
          <w:u w:color="000000"/>
          <w:bdr w:val="nil"/>
          <w:lang w:val="nl-NL" w:eastAsia="nl-BE"/>
          <w14:textOutline w14:w="0" w14:cap="flat" w14:cmpd="sng" w14:algn="ctr">
            <w14:noFill/>
            <w14:prstDash w14:val="solid"/>
            <w14:bevel/>
          </w14:textOutline>
          <w14:ligatures w14:val="none"/>
        </w:rPr>
        <w:t>5</w:t>
      </w:r>
      <w:r w:rsidR="00B10828" w:rsidRPr="00A93069">
        <w:rPr>
          <w:rFonts w:eastAsia="Calibri Light" w:cs="Calibri Light"/>
          <w:b/>
          <w:bCs/>
          <w:kern w:val="0"/>
          <w:u w:color="000000"/>
          <w:bdr w:val="nil"/>
          <w:lang w:val="nl-NL" w:eastAsia="nl-BE"/>
          <w14:textOutline w14:w="0" w14:cap="flat" w14:cmpd="sng" w14:algn="ctr">
            <w14:noFill/>
            <w14:prstDash w14:val="solid"/>
            <w14:bevel/>
          </w14:textOutline>
          <w14:ligatures w14:val="none"/>
        </w:rPr>
        <w:t xml:space="preserve">. </w:t>
      </w:r>
      <w:r w:rsidR="005D56BA">
        <w:rPr>
          <w:rFonts w:eastAsia="Calibri" w:cs="Calibri Light"/>
          <w:b/>
          <w:bCs/>
          <w:kern w:val="0"/>
          <w14:ligatures w14:val="none"/>
        </w:rPr>
        <w:t>R</w:t>
      </w:r>
      <w:r w:rsidR="003E2F2A" w:rsidRPr="00A93069">
        <w:rPr>
          <w:rFonts w:eastAsia="Calibri" w:cs="Calibri Light"/>
          <w:b/>
          <w:bCs/>
          <w:kern w:val="0"/>
          <w14:ligatures w14:val="none"/>
        </w:rPr>
        <w:t>isico’s</w:t>
      </w:r>
      <w:r w:rsidR="003E2F2A" w:rsidRPr="00A93069">
        <w:rPr>
          <w:rFonts w:eastAsia="Calibri" w:cs="Calibri Light"/>
          <w:kern w:val="0"/>
          <w:sz w:val="22"/>
          <w:szCs w:val="22"/>
          <w14:ligatures w14:val="none"/>
        </w:rPr>
        <w:t xml:space="preserve"> </w:t>
      </w:r>
      <w:r w:rsidR="005D56BA">
        <w:rPr>
          <w:rFonts w:eastAsia="Calibri" w:cs="Calibri Light"/>
          <w:kern w:val="0"/>
          <w:sz w:val="22"/>
          <w:szCs w:val="22"/>
          <w14:ligatures w14:val="none"/>
        </w:rPr>
        <w:br/>
      </w:r>
      <w:r w:rsidR="005D56BA">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5303D3">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t xml:space="preserve">De groep </w:t>
      </w:r>
      <w:r w:rsidR="003E2F2A" w:rsidRPr="00A93069">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t xml:space="preserve">heeft actieplannen opgesteld en de uitvoering ervan werd opgestart om het geambieerde herstel in omzet en rentabiliteit te realiseren. </w:t>
      </w:r>
      <w:r w:rsidR="008A76F0">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8A76F0">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3E2F2A" w:rsidRPr="00A93069">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t xml:space="preserve">Het succes van deze actieplannen hangt naast de macro-economische context en de marktevoluties in de kernmarkten ook af van de doeltreffendheid van de huidige en nieuwe maatregelen. De Raad van Bestuur heeft vertrouwen in de plannen, de beschikbare liquiditeiten en gerelateerde toekomstige kasstromen wat ertoe leidt dat de boekhoudkundige informatie opgenomen in dit jaarverslag opgesteld is in de veronderstelling van continuïteit. De Raad van Bestuur is van mening dat het voor de groep mogelijk is om de risico’s en onzekerheden gepaard gaande met de actieplannen succesvol te beheersen. De vermelde plannen kunnen verder bijgesteld worden en strategische opties zullen verder geëxploreerd worden in functie van de evolutie van de verkoop in de kernmarkten en nieuwe markten. </w:t>
      </w:r>
      <w:r w:rsidR="0044231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44231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6</w:t>
      </w:r>
      <w:r w:rsidR="0044231F" w:rsidRPr="00A93069">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 Vooruitzichten</w:t>
      </w:r>
      <w:r w:rsidR="0044231F">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ab/>
      </w:r>
      <w:r w:rsidR="0044231F" w:rsidRPr="0044231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44231F" w:rsidRPr="0044231F">
        <w:rPr>
          <w:rFonts w:eastAsia="Arial Unicode MS" w:cs="Arial Unicode MS"/>
          <w:kern w:val="0"/>
          <w:sz w:val="22"/>
          <w:szCs w:val="22"/>
          <w:u w:color="000000"/>
          <w:bdr w:val="nil"/>
          <w:lang w:val="nl-NL" w:eastAsia="nl-BE"/>
          <w14:textOutline w14:w="0" w14:cap="flat" w14:cmpd="sng" w14:algn="ctr">
            <w14:noFill/>
            <w14:prstDash w14:val="solid"/>
            <w14:bevel/>
          </w14:textOutline>
          <w14:ligatures w14:val="none"/>
        </w:rPr>
        <w:br/>
      </w:r>
      <w:r w:rsidR="0044231F" w:rsidRPr="0044231F">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t>De doelstelling van het strategisch plan "Horizon 2030" is ambitieus: de recurrente EBITDA-marge verhogen naar 20% in 2030 - inclusief meerwaarden ten gevolge van rotaties in de vastgoedportefeuille, bouwend op de sterke fundamenten van de brouwerij. </w:t>
      </w:r>
      <w:r w:rsidR="0044231F" w:rsidRPr="0044231F">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br/>
      </w:r>
      <w:r w:rsidR="0044231F" w:rsidRPr="0044231F">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br/>
        <w:t>De transformatie vindt plaats tegen de achtergrond van uitdagende marktomstandigheden en een onzekere geopolitieke context. De groep verwacht in 2026 een duidelijke REBITDA-verbetering te realiseren, vooral gedreven door de impact van kostenbesparende initiatieven. Er wordt ook uitgegaan van een positieve kasstroom, dankzij een verbetering van de resultaten voor zowel de brouwerij- als de real estate-activiteiten van de groep.</w:t>
      </w:r>
      <w:r w:rsidR="008A76F0">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br/>
      </w:r>
    </w:p>
    <w:p w14:paraId="4E95B731" w14:textId="77777777" w:rsidR="00B63450" w:rsidRDefault="00B63450" w:rsidP="000869D3">
      <w:pPr>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pPr>
    </w:p>
    <w:p w14:paraId="349FAA4E" w14:textId="77777777" w:rsidR="00B63450" w:rsidRDefault="00B63450" w:rsidP="000869D3">
      <w:pPr>
        <w:rPr>
          <w:rFonts w:eastAsia="Arial Unicode MS" w:cs="Arial Unicode MS"/>
          <w:kern w:val="0"/>
          <w:sz w:val="22"/>
          <w:szCs w:val="22"/>
          <w:u w:color="000000"/>
          <w:bdr w:val="nil"/>
          <w:lang w:eastAsia="nl-BE"/>
          <w14:textOutline w14:w="0" w14:cap="flat" w14:cmpd="sng" w14:algn="ctr">
            <w14:noFill/>
            <w14:prstDash w14:val="solid"/>
            <w14:bevel/>
          </w14:textOutline>
          <w14:ligatures w14:val="none"/>
        </w:rPr>
      </w:pPr>
    </w:p>
    <w:p w14:paraId="3D21B331" w14:textId="16275863" w:rsidR="00401626" w:rsidRPr="00604553" w:rsidRDefault="004409E3" w:rsidP="000869D3">
      <w:pPr>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pPr>
      <w:r>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7</w:t>
      </w:r>
      <w:r w:rsidR="00BB636B" w:rsidRPr="00A93069">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 xml:space="preserve">. </w:t>
      </w:r>
      <w:r w:rsidR="00586E7F" w:rsidRPr="00A93069">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t>Bijlage</w:t>
      </w:r>
      <w:r w:rsidR="00A56ADF">
        <w:rPr>
          <w:rFonts w:eastAsia="Arial Unicode MS" w:cs="Arial Unicode MS"/>
          <w:b/>
          <w:bCs/>
          <w:kern w:val="0"/>
          <w:u w:color="000000"/>
          <w:bdr w:val="nil"/>
          <w:lang w:val="nl-NL" w:eastAsia="nl-BE"/>
          <w14:textOutline w14:w="0" w14:cap="flat" w14:cmpd="sng" w14:algn="ctr">
            <w14:noFill/>
            <w14:prstDash w14:val="solid"/>
            <w14:bevel/>
          </w14:textOutline>
          <w14:ligatures w14:val="none"/>
        </w:rPr>
        <w:br/>
      </w:r>
      <w:r w:rsidR="00BB636B" w:rsidRPr="00604553">
        <w:rPr>
          <w:rFonts w:eastAsia="Arial Unicode MS" w:cs="Arial Unicode MS"/>
          <w:b/>
          <w:bCs/>
          <w:kern w:val="0"/>
          <w:sz w:val="22"/>
          <w:szCs w:val="22"/>
          <w:u w:color="000000"/>
          <w:bdr w:val="nil"/>
          <w:lang w:val="nl-NL" w:eastAsia="nl-BE"/>
          <w14:textOutline w14:w="0" w14:cap="flat" w14:cmpd="sng" w14:algn="ctr">
            <w14:noFill/>
            <w14:prstDash w14:val="solid"/>
            <w14:bevel/>
          </w14:textOutline>
          <w14:ligatures w14:val="none"/>
        </w:rPr>
        <w:tab/>
      </w:r>
      <w:r w:rsidR="00586E7F" w:rsidRPr="00604553">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586E7F" w:rsidRPr="00604553">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De commissaris, Deloitte Bedrijfsrevisoren BV, vertegenwoordigd door de heer Joël Brehmen, heeft bevestigd dat zijn controlewerkzaamheden</w:t>
      </w:r>
      <w:r w:rsidR="007D1F05" w:rsidRPr="00604553">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die ten gronde werden afgerond, geen betekenisvolle correctie aan het licht hebben gebracht</w:t>
      </w:r>
      <w:r w:rsidR="00286BBA" w:rsidRPr="00604553">
        <w:rPr>
          <w:rFonts w:eastAsia="Calibri Light" w:cs="Calibri Light"/>
          <w:color w:val="000000"/>
          <w:kern w:val="0"/>
          <w:sz w:val="22"/>
          <w:szCs w:val="22"/>
          <w:u w:color="000000"/>
          <w:bdr w:val="nil"/>
          <w:lang w:val="nl-NL" w:eastAsia="nl-BE"/>
          <w14:textOutline w14:w="0" w14:cap="flat" w14:cmpd="sng" w14:algn="ctr">
            <w14:noFill/>
            <w14:prstDash w14:val="solid"/>
            <w14:bevel/>
          </w14:textOutline>
          <w14:ligatures w14:val="none"/>
        </w:rPr>
        <w:t xml:space="preserve"> die in de boekhoudkundige informatie, opgenomen in dit persbericht, zou moeten doorgevoerd worden.</w:t>
      </w:r>
      <w:r w:rsidR="00286BBA" w:rsidRPr="00604553">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t xml:space="preserve"> </w:t>
      </w:r>
      <w:r w:rsidR="008F2C05" w:rsidRPr="00604553">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401626">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br/>
      </w:r>
      <w:r w:rsidR="003A75A0" w:rsidRPr="003A75A0">
        <w:rPr>
          <w:noProof/>
        </w:rPr>
        <w:drawing>
          <wp:inline distT="0" distB="0" distL="0" distR="0" wp14:anchorId="3F223AC0" wp14:editId="11F2DE28">
            <wp:extent cx="5760720" cy="5081905"/>
            <wp:effectExtent l="0" t="0" r="0" b="4445"/>
            <wp:docPr id="163953427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081905"/>
                    </a:xfrm>
                    <a:prstGeom prst="rect">
                      <a:avLst/>
                    </a:prstGeom>
                    <a:noFill/>
                    <a:ln>
                      <a:noFill/>
                    </a:ln>
                  </pic:spPr>
                </pic:pic>
              </a:graphicData>
            </a:graphic>
          </wp:inline>
        </w:drawing>
      </w:r>
    </w:p>
    <w:p w14:paraId="6890D562" w14:textId="38D777F5" w:rsidR="002C595C" w:rsidRPr="00604553" w:rsidRDefault="002C595C" w:rsidP="000869D3">
      <w:pPr>
        <w:rPr>
          <w:rFonts w:ascii="Calibri Light" w:eastAsia="Calibri Light" w:hAnsi="Calibri Light" w:cs="Calibri Light"/>
          <w:b/>
          <w:bCs/>
          <w:color w:val="000000"/>
          <w:kern w:val="0"/>
          <w:sz w:val="22"/>
          <w:szCs w:val="22"/>
          <w:u w:color="000000"/>
          <w:bdr w:val="nil"/>
          <w:lang w:val="nl-NL" w:eastAsia="nl-BE"/>
          <w14:textOutline w14:w="0" w14:cap="flat" w14:cmpd="sng" w14:algn="ctr">
            <w14:noFill/>
            <w14:prstDash w14:val="solid"/>
            <w14:bevel/>
          </w14:textOutline>
          <w14:ligatures w14:val="none"/>
        </w:rPr>
      </w:pPr>
    </w:p>
    <w:p w14:paraId="17570844" w14:textId="6A9016AD" w:rsidR="002C595C" w:rsidRPr="002C595C" w:rsidRDefault="002C595C" w:rsidP="002C595C">
      <w:pPr>
        <w:pBdr>
          <w:top w:val="nil"/>
          <w:left w:val="nil"/>
          <w:bottom w:val="nil"/>
          <w:right w:val="nil"/>
          <w:between w:val="nil"/>
          <w:bar w:val="nil"/>
        </w:pBdr>
        <w:spacing w:after="0" w:line="240" w:lineRule="auto"/>
        <w:jc w:val="both"/>
        <w:rPr>
          <w:rFonts w:ascii="Calibri Light" w:eastAsia="Arial Unicode MS" w:hAnsi="Calibri Light" w:cs="Arial Unicode MS"/>
          <w:color w:val="000000"/>
          <w:kern w:val="0"/>
          <w:sz w:val="20"/>
          <w:szCs w:val="20"/>
          <w:u w:color="000000"/>
          <w:bdr w:val="nil"/>
          <w:lang w:val="nl-NL" w:eastAsia="nl-BE"/>
          <w14:textOutline w14:w="0" w14:cap="flat" w14:cmpd="sng" w14:algn="ctr">
            <w14:noFill/>
            <w14:prstDash w14:val="solid"/>
            <w14:bevel/>
          </w14:textOutline>
          <w14:ligatures w14:val="none"/>
        </w:rPr>
      </w:pPr>
    </w:p>
    <w:p w14:paraId="48B8FA03" w14:textId="2EE47093" w:rsidR="00500F93" w:rsidRPr="00500F93" w:rsidRDefault="00500F93" w:rsidP="00500F93">
      <w:pPr>
        <w:rPr>
          <w:rFonts w:ascii="Calibri Light" w:eastAsia="Calibri" w:hAnsi="Calibri Light" w:cs="Calibri Light"/>
          <w:kern w:val="0"/>
          <w:sz w:val="20"/>
          <w:szCs w:val="20"/>
          <w14:ligatures w14:val="none"/>
        </w:rPr>
      </w:pPr>
      <w:r>
        <w:rPr>
          <w:rFonts w:ascii="Calibri" w:eastAsia="Calibri" w:hAnsi="Calibri" w:cs="Arial"/>
          <w:kern w:val="0"/>
          <w:sz w:val="22"/>
          <w:szCs w:val="22"/>
          <w14:ligatures w14:val="none"/>
        </w:rPr>
        <w:br/>
      </w:r>
      <w:r w:rsidR="008F2C05">
        <w:rPr>
          <w:rFonts w:ascii="Calibri Light" w:eastAsia="Calibri" w:hAnsi="Calibri Light" w:cs="Calibri Light"/>
          <w:kern w:val="0"/>
          <w:sz w:val="20"/>
          <w:szCs w:val="20"/>
          <w14:ligatures w14:val="none"/>
        </w:rPr>
        <w:br/>
      </w:r>
      <w:r w:rsidR="008F2C05">
        <w:rPr>
          <w:rFonts w:ascii="Calibri Light" w:eastAsia="Calibri" w:hAnsi="Calibri Light" w:cs="Calibri Light"/>
          <w:kern w:val="0"/>
          <w:sz w:val="20"/>
          <w:szCs w:val="20"/>
          <w14:ligatures w14:val="none"/>
        </w:rPr>
        <w:br/>
      </w:r>
    </w:p>
    <w:p w14:paraId="375100CF" w14:textId="5135B93A" w:rsidR="00797874" w:rsidRDefault="00C1713D" w:rsidP="00574B37">
      <w:pPr>
        <w:rPr>
          <w:rFonts w:ascii="Calibri" w:eastAsia="Calibri" w:hAnsi="Calibri" w:cs="Arial"/>
          <w:noProof/>
          <w:kern w:val="0"/>
          <w:sz w:val="22"/>
          <w:szCs w:val="22"/>
          <w14:ligatures w14:val="none"/>
        </w:rPr>
      </w:pPr>
      <w:r w:rsidRPr="00C1713D">
        <w:rPr>
          <w:noProof/>
        </w:rPr>
        <w:lastRenderedPageBreak/>
        <w:drawing>
          <wp:inline distT="0" distB="0" distL="0" distR="0" wp14:anchorId="05CAD0B4" wp14:editId="0B7358BC">
            <wp:extent cx="5760720" cy="3389630"/>
            <wp:effectExtent l="0" t="0" r="0" b="1270"/>
            <wp:docPr id="12562946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89630"/>
                    </a:xfrm>
                    <a:prstGeom prst="rect">
                      <a:avLst/>
                    </a:prstGeom>
                    <a:noFill/>
                    <a:ln>
                      <a:noFill/>
                    </a:ln>
                  </pic:spPr>
                </pic:pic>
              </a:graphicData>
            </a:graphic>
          </wp:inline>
        </w:drawing>
      </w:r>
      <w:r w:rsidR="00DF2883">
        <w:rPr>
          <w:rFonts w:ascii="Calibri" w:eastAsia="Calibri" w:hAnsi="Calibri" w:cs="Arial"/>
          <w:noProof/>
          <w:kern w:val="0"/>
          <w:sz w:val="22"/>
          <w:szCs w:val="22"/>
          <w14:ligatures w14:val="none"/>
        </w:rPr>
        <w:br/>
      </w:r>
      <w:r w:rsidR="00BD0D5C" w:rsidRPr="00BD0D5C">
        <w:rPr>
          <w:noProof/>
        </w:rPr>
        <w:drawing>
          <wp:inline distT="0" distB="0" distL="0" distR="0" wp14:anchorId="201B41DD" wp14:editId="3DDFE3DF">
            <wp:extent cx="5473700" cy="4914900"/>
            <wp:effectExtent l="0" t="0" r="0" b="0"/>
            <wp:docPr id="13210933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3700" cy="4914900"/>
                    </a:xfrm>
                    <a:prstGeom prst="rect">
                      <a:avLst/>
                    </a:prstGeom>
                    <a:noFill/>
                    <a:ln>
                      <a:noFill/>
                    </a:ln>
                  </pic:spPr>
                </pic:pic>
              </a:graphicData>
            </a:graphic>
          </wp:inline>
        </w:drawing>
      </w:r>
    </w:p>
    <w:p w14:paraId="1B5584EF" w14:textId="77777777" w:rsidR="00403E9B" w:rsidRPr="008F2C05" w:rsidRDefault="00D81DC9" w:rsidP="00574B37">
      <w:pPr>
        <w:rPr>
          <w:rFonts w:asciiTheme="majorHAnsi" w:hAnsiTheme="majorHAnsi"/>
          <w:lang w:val="fr-BE"/>
        </w:rPr>
      </w:pPr>
      <w:r w:rsidRPr="008F2C05">
        <w:rPr>
          <w:rFonts w:asciiTheme="majorHAnsi" w:eastAsia="Calibri" w:hAnsiTheme="majorHAnsi" w:cs="Arial"/>
          <w:kern w:val="0"/>
          <w:sz w:val="20"/>
          <w:szCs w:val="20"/>
          <w:lang w:val="fr-BE"/>
          <w14:ligatures w14:val="none"/>
        </w:rPr>
        <w:t>(Belgische boekhoudnormen)</w:t>
      </w:r>
      <w:r w:rsidR="00574B37" w:rsidRPr="008F2C05">
        <w:rPr>
          <w:rFonts w:asciiTheme="majorHAnsi" w:eastAsia="Calibri" w:hAnsiTheme="majorHAnsi" w:cs="Arial"/>
          <w:kern w:val="0"/>
          <w:sz w:val="22"/>
          <w:szCs w:val="22"/>
          <w:lang w:val="fr-BE"/>
          <w14:ligatures w14:val="none"/>
        </w:rPr>
        <w:br/>
      </w:r>
    </w:p>
    <w:p w14:paraId="22B2DD03" w14:textId="4482EA12" w:rsidR="00403E9B" w:rsidRPr="008F2C05" w:rsidRDefault="00403E9B" w:rsidP="00574B37">
      <w:pPr>
        <w:rPr>
          <w:rFonts w:ascii="Aptos" w:hAnsi="Aptos" w:cs="Calibri Light"/>
          <w:sz w:val="22"/>
          <w:szCs w:val="22"/>
        </w:rPr>
      </w:pPr>
      <w:r w:rsidRPr="008F2C05">
        <w:rPr>
          <w:rFonts w:ascii="Aptos" w:hAnsi="Aptos" w:cs="Calibri Light"/>
          <w:sz w:val="22"/>
          <w:szCs w:val="22"/>
        </w:rPr>
        <w:lastRenderedPageBreak/>
        <w:t>Opmerking: de bridge tussen REB</w:t>
      </w:r>
      <w:r w:rsidR="00902222" w:rsidRPr="008F2C05">
        <w:rPr>
          <w:rFonts w:ascii="Aptos" w:hAnsi="Aptos" w:cs="Calibri Light"/>
          <w:sz w:val="22"/>
          <w:szCs w:val="22"/>
        </w:rPr>
        <w:t>I</w:t>
      </w:r>
      <w:r w:rsidRPr="008F2C05">
        <w:rPr>
          <w:rFonts w:ascii="Aptos" w:hAnsi="Aptos" w:cs="Calibri Light"/>
          <w:sz w:val="22"/>
          <w:szCs w:val="22"/>
        </w:rPr>
        <w:t xml:space="preserve">TDA en EBIT voor Q1-2026 versus Q1-2025 </w:t>
      </w:r>
      <w:r w:rsidR="00F30514" w:rsidRPr="008F2C05">
        <w:rPr>
          <w:rFonts w:ascii="Aptos" w:hAnsi="Aptos" w:cs="Calibri Light"/>
          <w:sz w:val="22"/>
          <w:szCs w:val="22"/>
        </w:rPr>
        <w:t>wordt</w:t>
      </w:r>
      <w:r w:rsidRPr="008F2C05">
        <w:rPr>
          <w:rFonts w:ascii="Aptos" w:hAnsi="Aptos" w:cs="Calibri Light"/>
          <w:sz w:val="22"/>
          <w:szCs w:val="22"/>
        </w:rPr>
        <w:t xml:space="preserve"> als volgt</w:t>
      </w:r>
      <w:r w:rsidR="00F30514" w:rsidRPr="008F2C05">
        <w:rPr>
          <w:rFonts w:ascii="Aptos" w:hAnsi="Aptos" w:cs="Calibri Light"/>
          <w:sz w:val="22"/>
          <w:szCs w:val="22"/>
        </w:rPr>
        <w:t xml:space="preserve"> gemaakt</w:t>
      </w:r>
      <w:r w:rsidRPr="008F2C05">
        <w:rPr>
          <w:rFonts w:ascii="Aptos" w:hAnsi="Aptos" w:cs="Calibri Light"/>
          <w:sz w:val="22"/>
          <w:szCs w:val="22"/>
        </w:rPr>
        <w:t>:</w:t>
      </w:r>
    </w:p>
    <w:tbl>
      <w:tblPr>
        <w:tblpPr w:leftFromText="141" w:rightFromText="141" w:vertAnchor="text" w:horzAnchor="margin" w:tblpY="3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1559"/>
        <w:gridCol w:w="1560"/>
      </w:tblGrid>
      <w:tr w:rsidR="00F30514" w:rsidRPr="00C651A9" w14:paraId="66E6C708" w14:textId="77777777" w:rsidTr="317A30FB">
        <w:trPr>
          <w:tblHeader/>
          <w:tblCellSpacing w:w="15" w:type="dxa"/>
        </w:trPr>
        <w:tc>
          <w:tcPr>
            <w:tcW w:w="3494" w:type="dxa"/>
            <w:vAlign w:val="center"/>
            <w:hideMark/>
          </w:tcPr>
          <w:p w14:paraId="6ABF06A5" w14:textId="71F02EDD" w:rsidR="00F30514" w:rsidRPr="008F2C05" w:rsidRDefault="00F30514" w:rsidP="0069186E">
            <w:pPr>
              <w:spacing w:after="0" w:line="240" w:lineRule="auto"/>
              <w:jc w:val="center"/>
              <w:rPr>
                <w:rFonts w:ascii="Aptos" w:eastAsia="Arial" w:hAnsi="Aptos" w:cs="Arial"/>
                <w:b/>
                <w:bCs/>
                <w:kern w:val="0"/>
                <w:sz w:val="22"/>
                <w:szCs w:val="22"/>
                <w:lang w:val="nl-NL"/>
                <w14:ligatures w14:val="none"/>
              </w:rPr>
            </w:pPr>
            <w:r w:rsidRPr="008F2C05">
              <w:rPr>
                <w:rFonts w:ascii="Aptos" w:eastAsia="Arial" w:hAnsi="Aptos" w:cs="Arial"/>
                <w:b/>
                <w:bCs/>
                <w:kern w:val="0"/>
                <w:sz w:val="22"/>
                <w:szCs w:val="22"/>
                <w:lang w:val="nl-NL"/>
                <w14:ligatures w14:val="none"/>
              </w:rPr>
              <w:t>Omschrijving</w:t>
            </w:r>
          </w:p>
        </w:tc>
        <w:tc>
          <w:tcPr>
            <w:tcW w:w="1529" w:type="dxa"/>
            <w:vAlign w:val="center"/>
            <w:hideMark/>
          </w:tcPr>
          <w:p w14:paraId="3D6EE047" w14:textId="0B48DA6F" w:rsidR="00F30514" w:rsidRPr="008F2C05" w:rsidRDefault="00F30514" w:rsidP="0069186E">
            <w:pPr>
              <w:spacing w:after="0" w:line="240" w:lineRule="auto"/>
              <w:jc w:val="center"/>
              <w:rPr>
                <w:rFonts w:ascii="Aptos" w:eastAsia="Arial" w:hAnsi="Aptos" w:cs="Arial"/>
                <w:b/>
                <w:bCs/>
                <w:kern w:val="0"/>
                <w:sz w:val="22"/>
                <w:szCs w:val="22"/>
                <w:lang w:val="nl-NL"/>
                <w14:ligatures w14:val="none"/>
              </w:rPr>
            </w:pPr>
            <w:r w:rsidRPr="008F2C05">
              <w:rPr>
                <w:rFonts w:ascii="Aptos" w:eastAsia="Arial" w:hAnsi="Aptos" w:cs="Arial"/>
                <w:b/>
                <w:bCs/>
                <w:kern w:val="0"/>
                <w:sz w:val="22"/>
                <w:szCs w:val="22"/>
                <w:lang w:val="nl-NL"/>
                <w14:ligatures w14:val="none"/>
              </w:rPr>
              <w:t>Q1 2026</w:t>
            </w:r>
          </w:p>
        </w:tc>
        <w:tc>
          <w:tcPr>
            <w:tcW w:w="1515" w:type="dxa"/>
            <w:vAlign w:val="center"/>
            <w:hideMark/>
          </w:tcPr>
          <w:p w14:paraId="619ED2B1" w14:textId="5ABDE632" w:rsidR="00F30514" w:rsidRPr="008F2C05" w:rsidRDefault="00F30514" w:rsidP="317A30FB">
            <w:pPr>
              <w:spacing w:after="0" w:line="240" w:lineRule="auto"/>
              <w:jc w:val="center"/>
            </w:pPr>
            <w:r w:rsidRPr="008F2C05">
              <w:rPr>
                <w:rFonts w:ascii="Aptos" w:eastAsia="Arial" w:hAnsi="Aptos" w:cs="Arial"/>
                <w:b/>
                <w:bCs/>
                <w:kern w:val="0"/>
                <w:sz w:val="22"/>
                <w:szCs w:val="22"/>
                <w:lang w:val="nl-NL"/>
                <w14:ligatures w14:val="none"/>
              </w:rPr>
              <w:t>Q1 202</w:t>
            </w:r>
            <w:r w:rsidR="5076181E" w:rsidRPr="317A30FB">
              <w:rPr>
                <w:rFonts w:ascii="Aptos" w:eastAsia="Arial" w:hAnsi="Aptos" w:cs="Arial"/>
                <w:b/>
                <w:bCs/>
                <w:sz w:val="22"/>
                <w:szCs w:val="22"/>
                <w:lang w:val="nl-NL"/>
              </w:rPr>
              <w:t>5</w:t>
            </w:r>
          </w:p>
        </w:tc>
      </w:tr>
      <w:tr w:rsidR="00F30514" w:rsidRPr="00C651A9" w14:paraId="566CBAEC" w14:textId="77777777" w:rsidTr="317A30FB">
        <w:trPr>
          <w:tblCellSpacing w:w="15" w:type="dxa"/>
        </w:trPr>
        <w:tc>
          <w:tcPr>
            <w:tcW w:w="3494" w:type="dxa"/>
            <w:vAlign w:val="center"/>
            <w:hideMark/>
          </w:tcPr>
          <w:p w14:paraId="3E6E6229" w14:textId="30DC601C" w:rsidR="00F30514" w:rsidRPr="009C2EB6" w:rsidRDefault="00F30514" w:rsidP="00902222">
            <w:pPr>
              <w:spacing w:after="0" w:line="240" w:lineRule="auto"/>
              <w:jc w:val="center"/>
              <w:rPr>
                <w:rFonts w:ascii="Aptos" w:eastAsia="Arial" w:hAnsi="Aptos" w:cs="Arial"/>
                <w:kern w:val="0"/>
                <w:sz w:val="22"/>
                <w:szCs w:val="22"/>
                <w:lang w:val="nl-NL"/>
                <w14:ligatures w14:val="none"/>
              </w:rPr>
            </w:pPr>
            <w:r w:rsidRPr="009C2EB6">
              <w:rPr>
                <w:rFonts w:ascii="Aptos" w:eastAsia="Arial" w:hAnsi="Aptos" w:cs="Arial"/>
                <w:kern w:val="0"/>
                <w:sz w:val="22"/>
                <w:szCs w:val="22"/>
                <w:lang w:val="nl-NL"/>
                <w14:ligatures w14:val="none"/>
              </w:rPr>
              <w:t>REBITDA</w:t>
            </w:r>
          </w:p>
        </w:tc>
        <w:tc>
          <w:tcPr>
            <w:tcW w:w="1529" w:type="dxa"/>
            <w:vAlign w:val="center"/>
          </w:tcPr>
          <w:p w14:paraId="2BB89A15" w14:textId="60565FA6" w:rsidR="00F30514" w:rsidRPr="008F2C05" w:rsidRDefault="00F30514" w:rsidP="00902222">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€2,02 mln</w:t>
            </w:r>
          </w:p>
        </w:tc>
        <w:tc>
          <w:tcPr>
            <w:tcW w:w="1515" w:type="dxa"/>
            <w:vAlign w:val="center"/>
            <w:hideMark/>
          </w:tcPr>
          <w:p w14:paraId="63FBF3A4" w14:textId="337F3F8A" w:rsidR="00F30514" w:rsidRPr="008F2C05" w:rsidRDefault="00F30514" w:rsidP="00902222">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€1,11 mln</w:t>
            </w:r>
          </w:p>
        </w:tc>
      </w:tr>
      <w:tr w:rsidR="00F30514" w:rsidRPr="00C651A9" w14:paraId="41E59B05" w14:textId="77777777" w:rsidTr="317A30FB">
        <w:trPr>
          <w:tblCellSpacing w:w="15" w:type="dxa"/>
        </w:trPr>
        <w:tc>
          <w:tcPr>
            <w:tcW w:w="3494" w:type="dxa"/>
            <w:vAlign w:val="center"/>
            <w:hideMark/>
          </w:tcPr>
          <w:p w14:paraId="244BC8D3" w14:textId="5375778E" w:rsidR="00F30514" w:rsidRPr="009C2EB6" w:rsidRDefault="00F30514" w:rsidP="0069186E">
            <w:pPr>
              <w:spacing w:after="0" w:line="240" w:lineRule="auto"/>
              <w:jc w:val="center"/>
              <w:rPr>
                <w:rFonts w:ascii="Aptos" w:eastAsia="Arial" w:hAnsi="Aptos" w:cs="Arial"/>
                <w:kern w:val="0"/>
                <w:sz w:val="22"/>
                <w:szCs w:val="22"/>
                <w:lang w:val="nl-NL"/>
                <w14:ligatures w14:val="none"/>
              </w:rPr>
            </w:pPr>
            <w:r w:rsidRPr="009C2EB6">
              <w:rPr>
                <w:rFonts w:ascii="Aptos" w:eastAsia="Arial" w:hAnsi="Aptos" w:cs="Arial"/>
                <w:kern w:val="0"/>
                <w:sz w:val="22"/>
                <w:szCs w:val="22"/>
                <w:lang w:val="nl-NL"/>
                <w14:ligatures w14:val="none"/>
              </w:rPr>
              <w:t>Niet-recurrente bedrijfskosten</w:t>
            </w:r>
          </w:p>
        </w:tc>
        <w:tc>
          <w:tcPr>
            <w:tcW w:w="1529" w:type="dxa"/>
            <w:vAlign w:val="center"/>
          </w:tcPr>
          <w:p w14:paraId="0A641F5F" w14:textId="6F44FE0F"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-€0,75 mln</w:t>
            </w:r>
          </w:p>
        </w:tc>
        <w:tc>
          <w:tcPr>
            <w:tcW w:w="1515" w:type="dxa"/>
            <w:vAlign w:val="center"/>
            <w:hideMark/>
          </w:tcPr>
          <w:p w14:paraId="3E143563" w14:textId="5B2FEC7C"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w:t>
            </w:r>
          </w:p>
        </w:tc>
      </w:tr>
      <w:tr w:rsidR="00F30514" w:rsidRPr="00C651A9" w14:paraId="12CA0CB4" w14:textId="77777777" w:rsidTr="317A30FB">
        <w:trPr>
          <w:tblCellSpacing w:w="15" w:type="dxa"/>
        </w:trPr>
        <w:tc>
          <w:tcPr>
            <w:tcW w:w="3494" w:type="dxa"/>
            <w:vAlign w:val="center"/>
          </w:tcPr>
          <w:p w14:paraId="2078E908" w14:textId="2890D496" w:rsidR="00F30514" w:rsidRPr="009C2EB6" w:rsidRDefault="00F30514" w:rsidP="0069186E">
            <w:pPr>
              <w:spacing w:after="0" w:line="240" w:lineRule="auto"/>
              <w:jc w:val="center"/>
              <w:rPr>
                <w:rFonts w:ascii="Aptos" w:eastAsia="Arial" w:hAnsi="Aptos" w:cs="Arial"/>
                <w:kern w:val="0"/>
                <w:sz w:val="22"/>
                <w:szCs w:val="22"/>
                <w:lang w:val="nl-NL"/>
                <w14:ligatures w14:val="none"/>
              </w:rPr>
            </w:pPr>
            <w:r w:rsidRPr="009C2EB6">
              <w:rPr>
                <w:rFonts w:ascii="Aptos" w:eastAsia="Arial" w:hAnsi="Aptos" w:cs="Arial"/>
                <w:kern w:val="0"/>
                <w:sz w:val="22"/>
                <w:szCs w:val="22"/>
                <w:lang w:val="nl-NL"/>
                <w14:ligatures w14:val="none"/>
              </w:rPr>
              <w:t>EBITDA</w:t>
            </w:r>
          </w:p>
        </w:tc>
        <w:tc>
          <w:tcPr>
            <w:tcW w:w="1529" w:type="dxa"/>
            <w:vAlign w:val="center"/>
          </w:tcPr>
          <w:p w14:paraId="5990A60E" w14:textId="55310038"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€1,27 mln</w:t>
            </w:r>
          </w:p>
        </w:tc>
        <w:tc>
          <w:tcPr>
            <w:tcW w:w="1515" w:type="dxa"/>
            <w:vAlign w:val="center"/>
          </w:tcPr>
          <w:p w14:paraId="1D3F523C" w14:textId="38014709"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€1,11 mln</w:t>
            </w:r>
          </w:p>
        </w:tc>
      </w:tr>
      <w:tr w:rsidR="00F30514" w:rsidRPr="00C651A9" w14:paraId="485B80DE" w14:textId="77777777" w:rsidTr="317A30FB">
        <w:trPr>
          <w:tblCellSpacing w:w="15" w:type="dxa"/>
        </w:trPr>
        <w:tc>
          <w:tcPr>
            <w:tcW w:w="3494" w:type="dxa"/>
            <w:vAlign w:val="center"/>
            <w:hideMark/>
          </w:tcPr>
          <w:p w14:paraId="6C560711" w14:textId="3FCD3412" w:rsidR="00F30514" w:rsidRPr="009C2EB6" w:rsidRDefault="00F30514" w:rsidP="0069186E">
            <w:pPr>
              <w:spacing w:after="0" w:line="240" w:lineRule="auto"/>
              <w:jc w:val="center"/>
              <w:rPr>
                <w:rFonts w:ascii="Aptos" w:eastAsia="Arial" w:hAnsi="Aptos" w:cs="Arial"/>
                <w:kern w:val="0"/>
                <w:sz w:val="22"/>
                <w:szCs w:val="22"/>
                <w:lang w:val="nl-NL"/>
                <w14:ligatures w14:val="none"/>
              </w:rPr>
            </w:pPr>
            <w:r w:rsidRPr="009C2EB6">
              <w:rPr>
                <w:rFonts w:ascii="Aptos" w:eastAsia="Arial" w:hAnsi="Aptos" w:cs="Arial"/>
                <w:kern w:val="0"/>
                <w:sz w:val="22"/>
                <w:szCs w:val="22"/>
                <w:lang w:val="nl-NL"/>
                <w14:ligatures w14:val="none"/>
              </w:rPr>
              <w:t>Afschrijvingen, Waardeverm.,</w:t>
            </w:r>
            <w:r w:rsidR="008F2C05" w:rsidRPr="009C2EB6">
              <w:rPr>
                <w:rFonts w:ascii="Aptos" w:eastAsia="Arial" w:hAnsi="Aptos" w:cs="Arial"/>
                <w:kern w:val="0"/>
                <w:sz w:val="22"/>
                <w:szCs w:val="22"/>
                <w:lang w:val="nl-NL"/>
                <w14:ligatures w14:val="none"/>
              </w:rPr>
              <w:t xml:space="preserve"> </w:t>
            </w:r>
            <w:r w:rsidRPr="009C2EB6">
              <w:rPr>
                <w:rFonts w:ascii="Aptos" w:eastAsia="Arial" w:hAnsi="Aptos" w:cs="Arial"/>
                <w:kern w:val="0"/>
                <w:sz w:val="22"/>
                <w:szCs w:val="22"/>
                <w:lang w:val="nl-NL"/>
                <w14:ligatures w14:val="none"/>
              </w:rPr>
              <w:t>Voorzieningen</w:t>
            </w:r>
          </w:p>
        </w:tc>
        <w:tc>
          <w:tcPr>
            <w:tcW w:w="1529" w:type="dxa"/>
            <w:vAlign w:val="center"/>
          </w:tcPr>
          <w:p w14:paraId="3B5A016D" w14:textId="3BC1EE5C"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-€3,23 mln</w:t>
            </w:r>
          </w:p>
        </w:tc>
        <w:tc>
          <w:tcPr>
            <w:tcW w:w="1515" w:type="dxa"/>
            <w:vAlign w:val="center"/>
            <w:hideMark/>
          </w:tcPr>
          <w:p w14:paraId="06F57BF5" w14:textId="268ACEEE"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-€3,24 mln</w:t>
            </w:r>
          </w:p>
        </w:tc>
      </w:tr>
      <w:tr w:rsidR="00F30514" w:rsidRPr="00C651A9" w14:paraId="47391167" w14:textId="77777777" w:rsidTr="317A30FB">
        <w:trPr>
          <w:tblCellSpacing w:w="15" w:type="dxa"/>
        </w:trPr>
        <w:tc>
          <w:tcPr>
            <w:tcW w:w="3494" w:type="dxa"/>
            <w:vAlign w:val="center"/>
            <w:hideMark/>
          </w:tcPr>
          <w:p w14:paraId="796B8D2D" w14:textId="32D5D420" w:rsidR="00F30514" w:rsidRPr="009C2EB6" w:rsidRDefault="00F30514" w:rsidP="0069186E">
            <w:pPr>
              <w:spacing w:after="0" w:line="240" w:lineRule="auto"/>
              <w:jc w:val="center"/>
              <w:rPr>
                <w:rFonts w:ascii="Aptos" w:eastAsia="Arial" w:hAnsi="Aptos" w:cs="Arial"/>
                <w:kern w:val="0"/>
                <w:sz w:val="22"/>
                <w:szCs w:val="22"/>
                <w:lang w:val="nl-NL"/>
                <w14:ligatures w14:val="none"/>
              </w:rPr>
            </w:pPr>
            <w:r w:rsidRPr="009C2EB6">
              <w:rPr>
                <w:rFonts w:ascii="Aptos" w:eastAsia="Arial" w:hAnsi="Aptos" w:cs="Arial"/>
                <w:kern w:val="0"/>
                <w:sz w:val="22"/>
                <w:szCs w:val="22"/>
                <w:lang w:val="nl-NL"/>
                <w14:ligatures w14:val="none"/>
              </w:rPr>
              <w:t>EBIT</w:t>
            </w:r>
          </w:p>
        </w:tc>
        <w:tc>
          <w:tcPr>
            <w:tcW w:w="1529" w:type="dxa"/>
            <w:vAlign w:val="center"/>
          </w:tcPr>
          <w:p w14:paraId="2E13F0F5" w14:textId="72920601"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-€1,96 mln</w:t>
            </w:r>
          </w:p>
        </w:tc>
        <w:tc>
          <w:tcPr>
            <w:tcW w:w="1515" w:type="dxa"/>
            <w:vAlign w:val="center"/>
            <w:hideMark/>
          </w:tcPr>
          <w:p w14:paraId="4E0FB959" w14:textId="568AD88B" w:rsidR="00F30514" w:rsidRPr="008F2C05" w:rsidRDefault="00F30514" w:rsidP="0069186E">
            <w:pPr>
              <w:spacing w:after="0" w:line="240" w:lineRule="auto"/>
              <w:jc w:val="center"/>
              <w:rPr>
                <w:rFonts w:ascii="Aptos" w:eastAsia="Arial" w:hAnsi="Aptos" w:cs="Arial"/>
                <w:kern w:val="0"/>
                <w:sz w:val="22"/>
                <w:szCs w:val="22"/>
                <w:lang w:val="nl-NL"/>
                <w14:ligatures w14:val="none"/>
              </w:rPr>
            </w:pPr>
            <w:r w:rsidRPr="008F2C05">
              <w:rPr>
                <w:rFonts w:ascii="Aptos" w:eastAsia="Arial" w:hAnsi="Aptos" w:cs="Arial"/>
                <w:kern w:val="0"/>
                <w:sz w:val="22"/>
                <w:szCs w:val="22"/>
                <w:lang w:val="nl-NL"/>
                <w14:ligatures w14:val="none"/>
              </w:rPr>
              <w:t>-€2,13 mln</w:t>
            </w:r>
          </w:p>
        </w:tc>
      </w:tr>
    </w:tbl>
    <w:p w14:paraId="6BBE02AE" w14:textId="77777777" w:rsidR="00403E9B" w:rsidRPr="00902222" w:rsidRDefault="00403E9B" w:rsidP="00574B37">
      <w:pPr>
        <w:rPr>
          <w:sz w:val="20"/>
          <w:szCs w:val="20"/>
        </w:rPr>
      </w:pPr>
    </w:p>
    <w:p w14:paraId="12C9193E" w14:textId="77956B05" w:rsidR="00574B37" w:rsidRPr="005C1101" w:rsidRDefault="00574B37" w:rsidP="317A30FB">
      <w:pPr>
        <w:rPr>
          <w:rFonts w:eastAsia="Arial" w:cs="Arial"/>
          <w:sz w:val="22"/>
          <w:szCs w:val="22"/>
          <w:lang w:val="fr-FR"/>
        </w:rPr>
      </w:pPr>
      <w:r w:rsidRPr="00AE1DCA">
        <w:rPr>
          <w:lang w:val="en-US"/>
        </w:rPr>
        <w:br/>
      </w:r>
      <w:r w:rsidRPr="00AE1DCA">
        <w:rPr>
          <w:lang w:val="en-US"/>
        </w:rPr>
        <w:br/>
      </w:r>
      <w:r w:rsidR="00DF2883">
        <w:rPr>
          <w:rFonts w:eastAsia="Arial" w:cs="Arial"/>
          <w:b/>
          <w:bCs/>
          <w:sz w:val="22"/>
          <w:szCs w:val="22"/>
          <w:lang w:val="fr-FR"/>
        </w:rPr>
        <w:br/>
      </w:r>
      <w:r w:rsidR="00DF2883">
        <w:rPr>
          <w:rFonts w:eastAsia="Arial" w:cs="Arial"/>
          <w:b/>
          <w:bCs/>
          <w:sz w:val="22"/>
          <w:szCs w:val="22"/>
          <w:lang w:val="fr-FR"/>
        </w:rPr>
        <w:br/>
      </w:r>
      <w:r w:rsidR="00DF2883">
        <w:rPr>
          <w:rFonts w:eastAsia="Arial" w:cs="Arial"/>
          <w:b/>
          <w:bCs/>
          <w:sz w:val="22"/>
          <w:szCs w:val="22"/>
          <w:lang w:val="fr-FR"/>
        </w:rPr>
        <w:br/>
      </w:r>
      <w:r w:rsidR="00DF2883">
        <w:rPr>
          <w:rFonts w:eastAsia="Arial" w:cs="Arial"/>
          <w:b/>
          <w:bCs/>
          <w:sz w:val="22"/>
          <w:szCs w:val="22"/>
          <w:lang w:val="fr-FR"/>
        </w:rPr>
        <w:br/>
      </w:r>
      <w:r w:rsidR="00DF2883">
        <w:rPr>
          <w:rFonts w:eastAsia="Arial" w:cs="Arial"/>
          <w:b/>
          <w:bCs/>
          <w:sz w:val="22"/>
          <w:szCs w:val="22"/>
          <w:lang w:val="fr-FR"/>
        </w:rPr>
        <w:br/>
      </w:r>
      <w:r w:rsidR="00DF2883">
        <w:rPr>
          <w:rFonts w:eastAsia="Arial" w:cs="Arial"/>
          <w:b/>
          <w:bCs/>
          <w:sz w:val="22"/>
          <w:szCs w:val="22"/>
          <w:lang w:val="fr-FR"/>
        </w:rPr>
        <w:br/>
      </w:r>
      <w:r w:rsidRPr="317A30FB">
        <w:rPr>
          <w:rFonts w:eastAsia="Arial" w:cs="Arial"/>
          <w:b/>
          <w:bCs/>
          <w:sz w:val="22"/>
          <w:szCs w:val="22"/>
          <w:lang w:val="fr-FR"/>
        </w:rPr>
        <w:t>Contact</w:t>
      </w:r>
      <w:r w:rsidRPr="00AE1DCA">
        <w:rPr>
          <w:lang w:val="en-US"/>
        </w:rPr>
        <w:br/>
      </w:r>
      <w:r w:rsidRPr="317A30FB">
        <w:rPr>
          <w:rFonts w:eastAsia="Arial" w:cs="Arial"/>
          <w:sz w:val="22"/>
          <w:szCs w:val="22"/>
          <w:lang w:val="fr-FR"/>
        </w:rPr>
        <w:t xml:space="preserve">Philippe Michiels </w:t>
      </w:r>
      <w:r w:rsidRPr="00AE1DCA">
        <w:rPr>
          <w:lang w:val="en-US"/>
        </w:rPr>
        <w:br/>
      </w:r>
      <w:r w:rsidRPr="317A30FB">
        <w:rPr>
          <w:rFonts w:eastAsia="Arial" w:cs="Arial"/>
          <w:sz w:val="22"/>
          <w:szCs w:val="22"/>
          <w:lang w:val="fr-FR"/>
        </w:rPr>
        <w:t>Communications Manager</w:t>
      </w:r>
      <w:r w:rsidRPr="00AE1DCA">
        <w:rPr>
          <w:lang w:val="en-US"/>
        </w:rPr>
        <w:br/>
      </w:r>
      <w:hyperlink r:id="rId16" w:history="1">
        <w:r w:rsidRPr="317A30FB">
          <w:rPr>
            <w:rFonts w:eastAsia="Arial" w:cs="Arial"/>
            <w:color w:val="000000" w:themeColor="text1"/>
            <w:sz w:val="22"/>
            <w:szCs w:val="22"/>
            <w:u w:val="single"/>
            <w:lang w:val="fr-FR"/>
          </w:rPr>
          <w:t>press@haacht.com</w:t>
        </w:r>
      </w:hyperlink>
      <w:r w:rsidRPr="00AE1DCA">
        <w:rPr>
          <w:lang w:val="en-US"/>
        </w:rPr>
        <w:br/>
      </w:r>
      <w:r w:rsidRPr="317A30FB">
        <w:rPr>
          <w:rFonts w:eastAsia="Arial" w:cs="Arial"/>
          <w:sz w:val="22"/>
          <w:szCs w:val="22"/>
          <w:lang w:val="fr-FR"/>
        </w:rPr>
        <w:t>+32 498 49 51 38</w:t>
      </w:r>
      <w:r w:rsidR="005C1101">
        <w:rPr>
          <w:rFonts w:eastAsia="Arial" w:cs="Arial"/>
          <w:sz w:val="22"/>
          <w:szCs w:val="22"/>
          <w:lang w:val="fr-FR"/>
        </w:rPr>
        <w:br/>
      </w:r>
      <w:r w:rsidR="005C1101">
        <w:rPr>
          <w:rFonts w:eastAsia="Arial" w:cs="Arial"/>
          <w:sz w:val="22"/>
          <w:szCs w:val="22"/>
          <w:lang w:val="fr-FR"/>
        </w:rPr>
        <w:br/>
      </w:r>
    </w:p>
    <w:p w14:paraId="15024E26" w14:textId="47DA2D00" w:rsidR="00765D6B" w:rsidRPr="008F2C05" w:rsidRDefault="00765D6B" w:rsidP="001C0B2F">
      <w:pPr>
        <w:spacing w:line="259" w:lineRule="auto"/>
        <w:rPr>
          <w:rFonts w:ascii="Aptos" w:hAnsi="Aptos"/>
          <w:lang w:val="fr-BE"/>
        </w:rPr>
      </w:pPr>
    </w:p>
    <w:sectPr w:rsidR="00765D6B" w:rsidRPr="008F2C05" w:rsidSect="00B63450">
      <w:footerReference w:type="default" r:id="rId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B52F" w14:textId="77777777" w:rsidR="00F10506" w:rsidRDefault="00F10506" w:rsidP="00211711">
      <w:pPr>
        <w:spacing w:after="0" w:line="240" w:lineRule="auto"/>
      </w:pPr>
      <w:r>
        <w:separator/>
      </w:r>
    </w:p>
  </w:endnote>
  <w:endnote w:type="continuationSeparator" w:id="0">
    <w:p w14:paraId="57A34CD7" w14:textId="77777777" w:rsidR="00F10506" w:rsidRDefault="00F10506" w:rsidP="0021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159816"/>
      <w:docPartObj>
        <w:docPartGallery w:val="Page Numbers (Bottom of Page)"/>
        <w:docPartUnique/>
      </w:docPartObj>
    </w:sdtPr>
    <w:sdtEndPr>
      <w:rPr>
        <w:sz w:val="20"/>
        <w:szCs w:val="20"/>
      </w:rPr>
    </w:sdtEndPr>
    <w:sdtContent>
      <w:p w14:paraId="03049194" w14:textId="3E27EDCA" w:rsidR="004639CA" w:rsidRPr="00BC6734" w:rsidRDefault="004639CA">
        <w:pPr>
          <w:pStyle w:val="Voettekst"/>
          <w:jc w:val="right"/>
          <w:rPr>
            <w:sz w:val="20"/>
            <w:szCs w:val="20"/>
          </w:rPr>
        </w:pPr>
        <w:r w:rsidRPr="00BC6734">
          <w:rPr>
            <w:sz w:val="20"/>
            <w:szCs w:val="20"/>
          </w:rPr>
          <w:fldChar w:fldCharType="begin"/>
        </w:r>
        <w:r w:rsidRPr="00BC6734">
          <w:rPr>
            <w:sz w:val="20"/>
            <w:szCs w:val="20"/>
          </w:rPr>
          <w:instrText>PAGE   \* MERGEFORMAT</w:instrText>
        </w:r>
        <w:r w:rsidRPr="00BC6734">
          <w:rPr>
            <w:sz w:val="20"/>
            <w:szCs w:val="20"/>
          </w:rPr>
          <w:fldChar w:fldCharType="separate"/>
        </w:r>
        <w:r w:rsidRPr="00BC6734">
          <w:rPr>
            <w:sz w:val="20"/>
            <w:szCs w:val="20"/>
            <w:lang w:val="nl-NL"/>
          </w:rPr>
          <w:t>2</w:t>
        </w:r>
        <w:r w:rsidRPr="00BC6734">
          <w:rPr>
            <w:sz w:val="20"/>
            <w:szCs w:val="20"/>
          </w:rPr>
          <w:fldChar w:fldCharType="end"/>
        </w:r>
      </w:p>
    </w:sdtContent>
  </w:sdt>
  <w:p w14:paraId="2C3A30C4" w14:textId="77777777" w:rsidR="00BC6734" w:rsidRPr="00F42561" w:rsidRDefault="00BC6734" w:rsidP="00BC6734">
    <w:pPr>
      <w:tabs>
        <w:tab w:val="center" w:pos="4536"/>
        <w:tab w:val="right" w:pos="9072"/>
      </w:tabs>
      <w:spacing w:after="0" w:line="240" w:lineRule="auto"/>
      <w:jc w:val="center"/>
      <w:rPr>
        <w:rFonts w:eastAsia="Arial" w:cs="Arial"/>
        <w:kern w:val="0"/>
        <w:sz w:val="20"/>
        <w:szCs w:val="20"/>
        <w:lang w:val="nl-NL"/>
        <w14:ligatures w14:val="none"/>
      </w:rPr>
    </w:pPr>
    <w:r w:rsidRPr="00F42561">
      <w:rPr>
        <w:rFonts w:eastAsia="Arial" w:cs="Arial"/>
        <w:kern w:val="0"/>
        <w:sz w:val="20"/>
        <w:szCs w:val="20"/>
        <w:lang w:val="nl-NL"/>
        <w14:ligatures w14:val="none"/>
      </w:rPr>
      <w:t>Dit persbericht is ook terug te vinden op www.cobrha.be.</w:t>
    </w:r>
  </w:p>
  <w:p w14:paraId="5AA641E4" w14:textId="77777777" w:rsidR="00211711" w:rsidRPr="00BC6734" w:rsidRDefault="00211711">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3FF9" w14:textId="77777777" w:rsidR="00F10506" w:rsidRDefault="00F10506" w:rsidP="00211711">
      <w:pPr>
        <w:spacing w:after="0" w:line="240" w:lineRule="auto"/>
      </w:pPr>
      <w:r>
        <w:separator/>
      </w:r>
    </w:p>
  </w:footnote>
  <w:footnote w:type="continuationSeparator" w:id="0">
    <w:p w14:paraId="28FF5B33" w14:textId="77777777" w:rsidR="00F10506" w:rsidRDefault="00F10506" w:rsidP="00211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22C"/>
    <w:multiLevelType w:val="multilevel"/>
    <w:tmpl w:val="79D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7254B"/>
    <w:multiLevelType w:val="multilevel"/>
    <w:tmpl w:val="CE10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370557"/>
    <w:multiLevelType w:val="multilevel"/>
    <w:tmpl w:val="035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0D712E"/>
    <w:multiLevelType w:val="hybridMultilevel"/>
    <w:tmpl w:val="BB52D782"/>
    <w:lvl w:ilvl="0" w:tplc="3B0C9382">
      <w:start w:val="3"/>
      <w:numFmt w:val="bullet"/>
      <w:lvlText w:val="-"/>
      <w:lvlJc w:val="left"/>
      <w:pPr>
        <w:ind w:left="720" w:hanging="360"/>
      </w:pPr>
      <w:rPr>
        <w:rFonts w:ascii="Aptos" w:eastAsiaTheme="minorHAnsi" w:hAnsi="Aptos" w:cstheme="minorBidi" w:hint="default"/>
        <w:b w:val="0"/>
        <w:bCs/>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8EC43D9"/>
    <w:multiLevelType w:val="hybridMultilevel"/>
    <w:tmpl w:val="4FA2939E"/>
    <w:lvl w:ilvl="0" w:tplc="94027502">
      <w:start w:val="3"/>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1FD2FEE"/>
    <w:multiLevelType w:val="multilevel"/>
    <w:tmpl w:val="ECC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21A8D"/>
    <w:multiLevelType w:val="multilevel"/>
    <w:tmpl w:val="83F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C570EB"/>
    <w:multiLevelType w:val="multilevel"/>
    <w:tmpl w:val="8AB8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75CE8"/>
    <w:multiLevelType w:val="multilevel"/>
    <w:tmpl w:val="F19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C642DB"/>
    <w:multiLevelType w:val="hybridMultilevel"/>
    <w:tmpl w:val="352AE2E4"/>
    <w:lvl w:ilvl="0" w:tplc="08130001">
      <w:start w:val="1"/>
      <w:numFmt w:val="bullet"/>
      <w:lvlText w:val=""/>
      <w:lvlJc w:val="left"/>
      <w:pPr>
        <w:tabs>
          <w:tab w:val="num" w:pos="360"/>
        </w:tabs>
        <w:ind w:left="360" w:hanging="360"/>
      </w:pPr>
      <w:rPr>
        <w:rFonts w:ascii="Symbol" w:hAnsi="Symbol" w:hint="default"/>
        <w:b/>
        <w:u w:val="none"/>
      </w:rPr>
    </w:lvl>
    <w:lvl w:ilvl="1" w:tplc="04130001">
      <w:start w:val="1"/>
      <w:numFmt w:val="bullet"/>
      <w:lvlText w:val=""/>
      <w:lvlJc w:val="left"/>
      <w:pPr>
        <w:tabs>
          <w:tab w:val="num" w:pos="720"/>
        </w:tabs>
        <w:ind w:left="720" w:hanging="360"/>
      </w:pPr>
      <w:rPr>
        <w:rFonts w:ascii="Symbol" w:hAnsi="Symbol" w:hint="default"/>
        <w:b/>
        <w:u w:val="none"/>
      </w:rPr>
    </w:lvl>
    <w:lvl w:ilvl="2" w:tplc="668EECD2">
      <w:start w:val="6"/>
      <w:numFmt w:val="bullet"/>
      <w:lvlText w:val=""/>
      <w:lvlJc w:val="left"/>
      <w:pPr>
        <w:tabs>
          <w:tab w:val="num" w:pos="1620"/>
        </w:tabs>
        <w:ind w:left="1620" w:hanging="360"/>
      </w:pPr>
      <w:rPr>
        <w:rFonts w:ascii="Symbol" w:eastAsia="Times New Roman" w:hAnsi="Symbol" w:cs="Times New Roman" w:hint="default"/>
        <w:b/>
        <w:u w:val="none"/>
      </w:rPr>
    </w:lvl>
    <w:lvl w:ilvl="3" w:tplc="0413000F">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0" w15:restartNumberingAfterBreak="0">
    <w:nsid w:val="78F240F1"/>
    <w:multiLevelType w:val="multilevel"/>
    <w:tmpl w:val="3D8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459500">
    <w:abstractNumId w:val="4"/>
  </w:num>
  <w:num w:numId="2" w16cid:durableId="1216236463">
    <w:abstractNumId w:val="3"/>
  </w:num>
  <w:num w:numId="3" w16cid:durableId="76293428">
    <w:abstractNumId w:val="8"/>
  </w:num>
  <w:num w:numId="4" w16cid:durableId="1694108193">
    <w:abstractNumId w:val="10"/>
  </w:num>
  <w:num w:numId="5" w16cid:durableId="738789045">
    <w:abstractNumId w:val="2"/>
  </w:num>
  <w:num w:numId="6" w16cid:durableId="1778669281">
    <w:abstractNumId w:val="0"/>
  </w:num>
  <w:num w:numId="7" w16cid:durableId="1919635546">
    <w:abstractNumId w:val="1"/>
  </w:num>
  <w:num w:numId="8" w16cid:durableId="2028292162">
    <w:abstractNumId w:val="6"/>
  </w:num>
  <w:num w:numId="9" w16cid:durableId="1025181297">
    <w:abstractNumId w:val="7"/>
  </w:num>
  <w:num w:numId="10" w16cid:durableId="717127217">
    <w:abstractNumId w:val="5"/>
  </w:num>
  <w:num w:numId="11" w16cid:durableId="1268152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79"/>
    <w:rsid w:val="00000759"/>
    <w:rsid w:val="000065DB"/>
    <w:rsid w:val="00010987"/>
    <w:rsid w:val="000179DB"/>
    <w:rsid w:val="000234E9"/>
    <w:rsid w:val="0004649F"/>
    <w:rsid w:val="0004674A"/>
    <w:rsid w:val="00052631"/>
    <w:rsid w:val="00061F5A"/>
    <w:rsid w:val="000869D3"/>
    <w:rsid w:val="00090418"/>
    <w:rsid w:val="00090D47"/>
    <w:rsid w:val="00095AA2"/>
    <w:rsid w:val="000A2056"/>
    <w:rsid w:val="000A3CD0"/>
    <w:rsid w:val="000B3B99"/>
    <w:rsid w:val="000B44CD"/>
    <w:rsid w:val="000C0B1E"/>
    <w:rsid w:val="000C7057"/>
    <w:rsid w:val="000E21D4"/>
    <w:rsid w:val="000E51DD"/>
    <w:rsid w:val="000E7189"/>
    <w:rsid w:val="001400BB"/>
    <w:rsid w:val="001415A0"/>
    <w:rsid w:val="0014448B"/>
    <w:rsid w:val="00154351"/>
    <w:rsid w:val="001632F9"/>
    <w:rsid w:val="00176E19"/>
    <w:rsid w:val="00186811"/>
    <w:rsid w:val="00192115"/>
    <w:rsid w:val="001A091B"/>
    <w:rsid w:val="001B5BE8"/>
    <w:rsid w:val="001C0B2F"/>
    <w:rsid w:val="001E43FF"/>
    <w:rsid w:val="001E601C"/>
    <w:rsid w:val="001E7828"/>
    <w:rsid w:val="001F0C76"/>
    <w:rsid w:val="001F355A"/>
    <w:rsid w:val="0020075A"/>
    <w:rsid w:val="002051C2"/>
    <w:rsid w:val="00206A76"/>
    <w:rsid w:val="00211711"/>
    <w:rsid w:val="00236676"/>
    <w:rsid w:val="00240D64"/>
    <w:rsid w:val="0024502E"/>
    <w:rsid w:val="00270592"/>
    <w:rsid w:val="00277B92"/>
    <w:rsid w:val="002866C6"/>
    <w:rsid w:val="00286BBA"/>
    <w:rsid w:val="00293AE2"/>
    <w:rsid w:val="00294F36"/>
    <w:rsid w:val="002A2805"/>
    <w:rsid w:val="002A5415"/>
    <w:rsid w:val="002B04B9"/>
    <w:rsid w:val="002B05B6"/>
    <w:rsid w:val="002C3DF8"/>
    <w:rsid w:val="002C595C"/>
    <w:rsid w:val="002D04F2"/>
    <w:rsid w:val="002D160B"/>
    <w:rsid w:val="002E08D9"/>
    <w:rsid w:val="002E213D"/>
    <w:rsid w:val="0032182A"/>
    <w:rsid w:val="00322A88"/>
    <w:rsid w:val="00345896"/>
    <w:rsid w:val="003601C1"/>
    <w:rsid w:val="00366FBE"/>
    <w:rsid w:val="0037604D"/>
    <w:rsid w:val="00391DA8"/>
    <w:rsid w:val="00392636"/>
    <w:rsid w:val="003944B0"/>
    <w:rsid w:val="00397807"/>
    <w:rsid w:val="003A1B94"/>
    <w:rsid w:val="003A3915"/>
    <w:rsid w:val="003A75A0"/>
    <w:rsid w:val="003B22B2"/>
    <w:rsid w:val="003B5676"/>
    <w:rsid w:val="003B6051"/>
    <w:rsid w:val="003C27F5"/>
    <w:rsid w:val="003E2F2A"/>
    <w:rsid w:val="003E641E"/>
    <w:rsid w:val="003E7861"/>
    <w:rsid w:val="003F5E81"/>
    <w:rsid w:val="003F6DC1"/>
    <w:rsid w:val="00401626"/>
    <w:rsid w:val="00403E9B"/>
    <w:rsid w:val="00404662"/>
    <w:rsid w:val="00421B15"/>
    <w:rsid w:val="00431954"/>
    <w:rsid w:val="00437BDE"/>
    <w:rsid w:val="004409E3"/>
    <w:rsid w:val="0044231F"/>
    <w:rsid w:val="00443B14"/>
    <w:rsid w:val="00445D2F"/>
    <w:rsid w:val="004504D1"/>
    <w:rsid w:val="004639CA"/>
    <w:rsid w:val="0046496F"/>
    <w:rsid w:val="004679C0"/>
    <w:rsid w:val="004753FD"/>
    <w:rsid w:val="00480E04"/>
    <w:rsid w:val="00481076"/>
    <w:rsid w:val="00487160"/>
    <w:rsid w:val="00492F71"/>
    <w:rsid w:val="004A0F83"/>
    <w:rsid w:val="004A51D2"/>
    <w:rsid w:val="004C1F26"/>
    <w:rsid w:val="004C4CE2"/>
    <w:rsid w:val="004C6BBB"/>
    <w:rsid w:val="004D6AAA"/>
    <w:rsid w:val="004D7230"/>
    <w:rsid w:val="004F6B1B"/>
    <w:rsid w:val="00500F93"/>
    <w:rsid w:val="00504A4B"/>
    <w:rsid w:val="005156BD"/>
    <w:rsid w:val="0052788A"/>
    <w:rsid w:val="005303D3"/>
    <w:rsid w:val="00537587"/>
    <w:rsid w:val="00541A21"/>
    <w:rsid w:val="00562840"/>
    <w:rsid w:val="005711ED"/>
    <w:rsid w:val="00574B37"/>
    <w:rsid w:val="005765B2"/>
    <w:rsid w:val="005821AC"/>
    <w:rsid w:val="00586E7F"/>
    <w:rsid w:val="005911FB"/>
    <w:rsid w:val="005918B7"/>
    <w:rsid w:val="005A3D00"/>
    <w:rsid w:val="005C1101"/>
    <w:rsid w:val="005D1A14"/>
    <w:rsid w:val="005D1E69"/>
    <w:rsid w:val="005D25A6"/>
    <w:rsid w:val="005D3FF3"/>
    <w:rsid w:val="005D56BA"/>
    <w:rsid w:val="005E0435"/>
    <w:rsid w:val="005E201C"/>
    <w:rsid w:val="006031B2"/>
    <w:rsid w:val="00604553"/>
    <w:rsid w:val="00613CD6"/>
    <w:rsid w:val="00615AE7"/>
    <w:rsid w:val="006226DE"/>
    <w:rsid w:val="00647AF4"/>
    <w:rsid w:val="006526F4"/>
    <w:rsid w:val="006605FC"/>
    <w:rsid w:val="006730CE"/>
    <w:rsid w:val="00673B77"/>
    <w:rsid w:val="00680F43"/>
    <w:rsid w:val="00682801"/>
    <w:rsid w:val="006829AF"/>
    <w:rsid w:val="006A5049"/>
    <w:rsid w:val="006A6D80"/>
    <w:rsid w:val="006C51A3"/>
    <w:rsid w:val="006C73C0"/>
    <w:rsid w:val="006D3142"/>
    <w:rsid w:val="006D3581"/>
    <w:rsid w:val="006E0528"/>
    <w:rsid w:val="006E5644"/>
    <w:rsid w:val="006E70E9"/>
    <w:rsid w:val="00701EAE"/>
    <w:rsid w:val="00714841"/>
    <w:rsid w:val="007154CD"/>
    <w:rsid w:val="00717506"/>
    <w:rsid w:val="00732352"/>
    <w:rsid w:val="00747FCA"/>
    <w:rsid w:val="00753CB3"/>
    <w:rsid w:val="007628BB"/>
    <w:rsid w:val="00765D6B"/>
    <w:rsid w:val="00775136"/>
    <w:rsid w:val="0077663A"/>
    <w:rsid w:val="007963CA"/>
    <w:rsid w:val="00797874"/>
    <w:rsid w:val="007A02DC"/>
    <w:rsid w:val="007A3F9F"/>
    <w:rsid w:val="007A6CCA"/>
    <w:rsid w:val="007B0999"/>
    <w:rsid w:val="007B6E1F"/>
    <w:rsid w:val="007C7E89"/>
    <w:rsid w:val="007D1F05"/>
    <w:rsid w:val="007D3DC5"/>
    <w:rsid w:val="007D71D3"/>
    <w:rsid w:val="007E1875"/>
    <w:rsid w:val="007E35E5"/>
    <w:rsid w:val="007E6E7B"/>
    <w:rsid w:val="007F4CA5"/>
    <w:rsid w:val="0081403C"/>
    <w:rsid w:val="00866D0C"/>
    <w:rsid w:val="008859CC"/>
    <w:rsid w:val="0089208A"/>
    <w:rsid w:val="008A5FCC"/>
    <w:rsid w:val="008A76F0"/>
    <w:rsid w:val="008B378B"/>
    <w:rsid w:val="008C6C53"/>
    <w:rsid w:val="008D0396"/>
    <w:rsid w:val="008E2A4F"/>
    <w:rsid w:val="008F0650"/>
    <w:rsid w:val="008F2C05"/>
    <w:rsid w:val="00902222"/>
    <w:rsid w:val="0090270C"/>
    <w:rsid w:val="00906EB7"/>
    <w:rsid w:val="0091220A"/>
    <w:rsid w:val="00913AFB"/>
    <w:rsid w:val="00914F6D"/>
    <w:rsid w:val="009227D2"/>
    <w:rsid w:val="0093314F"/>
    <w:rsid w:val="00945D11"/>
    <w:rsid w:val="00945D38"/>
    <w:rsid w:val="009552D9"/>
    <w:rsid w:val="009663C3"/>
    <w:rsid w:val="00966ED0"/>
    <w:rsid w:val="009740EC"/>
    <w:rsid w:val="00977C79"/>
    <w:rsid w:val="00983C14"/>
    <w:rsid w:val="009A14D3"/>
    <w:rsid w:val="009A1876"/>
    <w:rsid w:val="009B0417"/>
    <w:rsid w:val="009B7161"/>
    <w:rsid w:val="009C2EB6"/>
    <w:rsid w:val="009E2ED9"/>
    <w:rsid w:val="009E3403"/>
    <w:rsid w:val="009F3637"/>
    <w:rsid w:val="00A05DD1"/>
    <w:rsid w:val="00A17ED4"/>
    <w:rsid w:val="00A24FD0"/>
    <w:rsid w:val="00A30313"/>
    <w:rsid w:val="00A56ADF"/>
    <w:rsid w:val="00A57419"/>
    <w:rsid w:val="00A60739"/>
    <w:rsid w:val="00A63446"/>
    <w:rsid w:val="00A70BDC"/>
    <w:rsid w:val="00A7103C"/>
    <w:rsid w:val="00A81917"/>
    <w:rsid w:val="00A92013"/>
    <w:rsid w:val="00A93069"/>
    <w:rsid w:val="00AA3F89"/>
    <w:rsid w:val="00AA7749"/>
    <w:rsid w:val="00AC68E0"/>
    <w:rsid w:val="00AE1DCA"/>
    <w:rsid w:val="00AE522E"/>
    <w:rsid w:val="00B009C9"/>
    <w:rsid w:val="00B030D1"/>
    <w:rsid w:val="00B04D71"/>
    <w:rsid w:val="00B074E6"/>
    <w:rsid w:val="00B07A01"/>
    <w:rsid w:val="00B07B2C"/>
    <w:rsid w:val="00B10828"/>
    <w:rsid w:val="00B13903"/>
    <w:rsid w:val="00B21A8B"/>
    <w:rsid w:val="00B22B70"/>
    <w:rsid w:val="00B509D2"/>
    <w:rsid w:val="00B5666A"/>
    <w:rsid w:val="00B61C64"/>
    <w:rsid w:val="00B63450"/>
    <w:rsid w:val="00B920F4"/>
    <w:rsid w:val="00BA237C"/>
    <w:rsid w:val="00BB619E"/>
    <w:rsid w:val="00BB636B"/>
    <w:rsid w:val="00BC6734"/>
    <w:rsid w:val="00BC7DD5"/>
    <w:rsid w:val="00BD0D5C"/>
    <w:rsid w:val="00BD0F0A"/>
    <w:rsid w:val="00BD2B9D"/>
    <w:rsid w:val="00BE123E"/>
    <w:rsid w:val="00BF53E5"/>
    <w:rsid w:val="00C14A12"/>
    <w:rsid w:val="00C1713D"/>
    <w:rsid w:val="00C17559"/>
    <w:rsid w:val="00C3069C"/>
    <w:rsid w:val="00C3344B"/>
    <w:rsid w:val="00C651A9"/>
    <w:rsid w:val="00C766BF"/>
    <w:rsid w:val="00C84DD1"/>
    <w:rsid w:val="00C97D87"/>
    <w:rsid w:val="00CA4B54"/>
    <w:rsid w:val="00CA659A"/>
    <w:rsid w:val="00CD1F85"/>
    <w:rsid w:val="00CD45E6"/>
    <w:rsid w:val="00CD6B7B"/>
    <w:rsid w:val="00CE2F6F"/>
    <w:rsid w:val="00CE42C8"/>
    <w:rsid w:val="00CE79EF"/>
    <w:rsid w:val="00CF79BE"/>
    <w:rsid w:val="00CF7D2D"/>
    <w:rsid w:val="00D34F4B"/>
    <w:rsid w:val="00D55BD7"/>
    <w:rsid w:val="00D5709D"/>
    <w:rsid w:val="00D7029F"/>
    <w:rsid w:val="00D73124"/>
    <w:rsid w:val="00D80889"/>
    <w:rsid w:val="00D81DC9"/>
    <w:rsid w:val="00DD3EB7"/>
    <w:rsid w:val="00DF2883"/>
    <w:rsid w:val="00DF2BD3"/>
    <w:rsid w:val="00E10D20"/>
    <w:rsid w:val="00E236FC"/>
    <w:rsid w:val="00E23BD9"/>
    <w:rsid w:val="00E304EA"/>
    <w:rsid w:val="00E517BB"/>
    <w:rsid w:val="00E62096"/>
    <w:rsid w:val="00E63E44"/>
    <w:rsid w:val="00E7430C"/>
    <w:rsid w:val="00EA72A0"/>
    <w:rsid w:val="00ED39D9"/>
    <w:rsid w:val="00EF62D8"/>
    <w:rsid w:val="00F00E79"/>
    <w:rsid w:val="00F02C35"/>
    <w:rsid w:val="00F10506"/>
    <w:rsid w:val="00F1110B"/>
    <w:rsid w:val="00F13C64"/>
    <w:rsid w:val="00F14FEF"/>
    <w:rsid w:val="00F17CA8"/>
    <w:rsid w:val="00F30514"/>
    <w:rsid w:val="00F34ACC"/>
    <w:rsid w:val="00F3752D"/>
    <w:rsid w:val="00F42561"/>
    <w:rsid w:val="00F477BA"/>
    <w:rsid w:val="00F8356C"/>
    <w:rsid w:val="00F9116B"/>
    <w:rsid w:val="00F91DBB"/>
    <w:rsid w:val="00FA3388"/>
    <w:rsid w:val="00FA3476"/>
    <w:rsid w:val="00FD32F6"/>
    <w:rsid w:val="00FD7125"/>
    <w:rsid w:val="06056E19"/>
    <w:rsid w:val="0BCAE96A"/>
    <w:rsid w:val="0D0C86A3"/>
    <w:rsid w:val="0D8DD54D"/>
    <w:rsid w:val="114BA470"/>
    <w:rsid w:val="167DCDC9"/>
    <w:rsid w:val="1A5A4052"/>
    <w:rsid w:val="2013A7E0"/>
    <w:rsid w:val="289878E5"/>
    <w:rsid w:val="30CD2A35"/>
    <w:rsid w:val="315C99A2"/>
    <w:rsid w:val="317A30FB"/>
    <w:rsid w:val="44EA6DD2"/>
    <w:rsid w:val="4CD82C5D"/>
    <w:rsid w:val="4D371C55"/>
    <w:rsid w:val="4FCB568C"/>
    <w:rsid w:val="5076181E"/>
    <w:rsid w:val="52500715"/>
    <w:rsid w:val="634A63E4"/>
    <w:rsid w:val="70C5D69A"/>
    <w:rsid w:val="72F69CFE"/>
    <w:rsid w:val="7C204C95"/>
    <w:rsid w:val="7CA42F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29B67"/>
  <w15:chartTrackingRefBased/>
  <w15:docId w15:val="{8D60C4EF-E49A-4B49-AAB2-FFF1ADB4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C79"/>
    <w:rPr>
      <w:rFonts w:eastAsiaTheme="majorEastAsia" w:cstheme="majorBidi"/>
      <w:color w:val="272727" w:themeColor="text1" w:themeTint="D8"/>
    </w:rPr>
  </w:style>
  <w:style w:type="paragraph" w:styleId="Titel">
    <w:name w:val="Title"/>
    <w:basedOn w:val="Standaard"/>
    <w:next w:val="Standaard"/>
    <w:link w:val="TitelChar"/>
    <w:uiPriority w:val="10"/>
    <w:qFormat/>
    <w:rsid w:val="00977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C79"/>
    <w:rPr>
      <w:i/>
      <w:iCs/>
      <w:color w:val="404040" w:themeColor="text1" w:themeTint="BF"/>
    </w:rPr>
  </w:style>
  <w:style w:type="paragraph" w:styleId="Lijstalinea">
    <w:name w:val="List Paragraph"/>
    <w:basedOn w:val="Standaard"/>
    <w:uiPriority w:val="34"/>
    <w:qFormat/>
    <w:rsid w:val="00977C79"/>
    <w:pPr>
      <w:ind w:left="720"/>
      <w:contextualSpacing/>
    </w:pPr>
  </w:style>
  <w:style w:type="character" w:styleId="Intensievebenadrukking">
    <w:name w:val="Intense Emphasis"/>
    <w:basedOn w:val="Standaardalinea-lettertype"/>
    <w:uiPriority w:val="21"/>
    <w:qFormat/>
    <w:rsid w:val="00977C79"/>
    <w:rPr>
      <w:i/>
      <w:iCs/>
      <w:color w:val="0F4761" w:themeColor="accent1" w:themeShade="BF"/>
    </w:rPr>
  </w:style>
  <w:style w:type="paragraph" w:styleId="Duidelijkcitaat">
    <w:name w:val="Intense Quote"/>
    <w:basedOn w:val="Standaard"/>
    <w:next w:val="Standaard"/>
    <w:link w:val="DuidelijkcitaatChar"/>
    <w:uiPriority w:val="30"/>
    <w:qFormat/>
    <w:rsid w:val="00977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C79"/>
    <w:rPr>
      <w:i/>
      <w:iCs/>
      <w:color w:val="0F4761" w:themeColor="accent1" w:themeShade="BF"/>
    </w:rPr>
  </w:style>
  <w:style w:type="character" w:styleId="Intensieveverwijzing">
    <w:name w:val="Intense Reference"/>
    <w:basedOn w:val="Standaardalinea-lettertype"/>
    <w:uiPriority w:val="32"/>
    <w:qFormat/>
    <w:rsid w:val="00977C79"/>
    <w:rPr>
      <w:b/>
      <w:bCs/>
      <w:smallCaps/>
      <w:color w:val="0F4761" w:themeColor="accent1" w:themeShade="BF"/>
      <w:spacing w:val="5"/>
    </w:rPr>
  </w:style>
  <w:style w:type="paragraph" w:styleId="Geenafstand">
    <w:name w:val="No Spacing"/>
    <w:uiPriority w:val="1"/>
    <w:qFormat/>
    <w:rsid w:val="00A30313"/>
    <w:pPr>
      <w:spacing w:after="0" w:line="240" w:lineRule="auto"/>
    </w:pPr>
  </w:style>
  <w:style w:type="character" w:styleId="Verwijzingopmerking">
    <w:name w:val="annotation reference"/>
    <w:basedOn w:val="Standaardalinea-lettertype"/>
    <w:uiPriority w:val="99"/>
    <w:semiHidden/>
    <w:unhideWhenUsed/>
    <w:rsid w:val="00B009C9"/>
    <w:rPr>
      <w:sz w:val="16"/>
      <w:szCs w:val="16"/>
    </w:rPr>
  </w:style>
  <w:style w:type="paragraph" w:styleId="Tekstopmerking">
    <w:name w:val="annotation text"/>
    <w:basedOn w:val="Standaard"/>
    <w:link w:val="TekstopmerkingChar"/>
    <w:uiPriority w:val="99"/>
    <w:unhideWhenUsed/>
    <w:rsid w:val="00B009C9"/>
    <w:pPr>
      <w:spacing w:line="240" w:lineRule="auto"/>
    </w:pPr>
    <w:rPr>
      <w:sz w:val="20"/>
      <w:szCs w:val="20"/>
    </w:rPr>
  </w:style>
  <w:style w:type="character" w:customStyle="1" w:styleId="TekstopmerkingChar">
    <w:name w:val="Tekst opmerking Char"/>
    <w:basedOn w:val="Standaardalinea-lettertype"/>
    <w:link w:val="Tekstopmerking"/>
    <w:uiPriority w:val="99"/>
    <w:rsid w:val="00B009C9"/>
    <w:rPr>
      <w:sz w:val="20"/>
      <w:szCs w:val="20"/>
    </w:rPr>
  </w:style>
  <w:style w:type="paragraph" w:styleId="Onderwerpvanopmerking">
    <w:name w:val="annotation subject"/>
    <w:basedOn w:val="Tekstopmerking"/>
    <w:next w:val="Tekstopmerking"/>
    <w:link w:val="OnderwerpvanopmerkingChar"/>
    <w:uiPriority w:val="99"/>
    <w:semiHidden/>
    <w:unhideWhenUsed/>
    <w:rsid w:val="00B009C9"/>
    <w:rPr>
      <w:b/>
      <w:bCs/>
    </w:rPr>
  </w:style>
  <w:style w:type="character" w:customStyle="1" w:styleId="OnderwerpvanopmerkingChar">
    <w:name w:val="Onderwerp van opmerking Char"/>
    <w:basedOn w:val="TekstopmerkingChar"/>
    <w:link w:val="Onderwerpvanopmerking"/>
    <w:uiPriority w:val="99"/>
    <w:semiHidden/>
    <w:rsid w:val="00B009C9"/>
    <w:rPr>
      <w:b/>
      <w:bCs/>
      <w:sz w:val="20"/>
      <w:szCs w:val="20"/>
    </w:rPr>
  </w:style>
  <w:style w:type="paragraph" w:styleId="Revisie">
    <w:name w:val="Revision"/>
    <w:hidden/>
    <w:uiPriority w:val="99"/>
    <w:semiHidden/>
    <w:rsid w:val="003E641E"/>
    <w:pPr>
      <w:spacing w:after="0" w:line="240" w:lineRule="auto"/>
    </w:pPr>
  </w:style>
  <w:style w:type="paragraph" w:customStyle="1" w:styleId="Hoofdtekst">
    <w:name w:val="Hoofdtekst"/>
    <w:rsid w:val="0081403C"/>
    <w:pPr>
      <w:spacing w:after="0" w:line="240" w:lineRule="auto"/>
    </w:pPr>
    <w:rPr>
      <w:rFonts w:ascii="Times New Roman" w:eastAsia="Arial Unicode MS" w:hAnsi="Times New Roman" w:cs="Arial Unicode MS"/>
      <w:color w:val="000000"/>
      <w:kern w:val="0"/>
      <w:u w:color="000000"/>
      <w:lang w:val="nl-NL" w:eastAsia="nl-BE"/>
      <w14:textOutline w14:w="0" w14:cap="flat" w14:cmpd="sng" w14:algn="ctr">
        <w14:noFill/>
        <w14:prstDash w14:val="solid"/>
        <w14:bevel/>
      </w14:textOutline>
      <w14:ligatures w14:val="none"/>
    </w:rPr>
  </w:style>
  <w:style w:type="paragraph" w:styleId="Koptekst">
    <w:name w:val="header"/>
    <w:basedOn w:val="Standaard"/>
    <w:link w:val="KoptekstChar"/>
    <w:uiPriority w:val="99"/>
    <w:unhideWhenUsed/>
    <w:rsid w:val="002117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1711"/>
  </w:style>
  <w:style w:type="paragraph" w:styleId="Voettekst">
    <w:name w:val="footer"/>
    <w:basedOn w:val="Standaard"/>
    <w:link w:val="VoettekstChar"/>
    <w:uiPriority w:val="99"/>
    <w:unhideWhenUsed/>
    <w:rsid w:val="002117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ss@haach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30c933-5865-4f95-ac5e-d75d38a82142" xsi:nil="true"/>
    <lcf76f155ced4ddcb4097134ff3c332f xmlns="c8f23424-6fc1-41cb-a498-3d11e694ecd8">
      <Terms xmlns="http://schemas.microsoft.com/office/infopath/2007/PartnerControls"/>
    </lcf76f155ced4ddcb4097134ff3c332f>
    <Hyperlink xmlns="c8f23424-6fc1-41cb-a498-3d11e694ecd8">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9F53673199246A2E63ED541DDDE62" ma:contentTypeVersion="18" ma:contentTypeDescription="Een nieuw document maken." ma:contentTypeScope="" ma:versionID="580f9eed73d6d77845c9f5c87876d72e">
  <xsd:schema xmlns:xsd="http://www.w3.org/2001/XMLSchema" xmlns:xs="http://www.w3.org/2001/XMLSchema" xmlns:p="http://schemas.microsoft.com/office/2006/metadata/properties" xmlns:ns2="f550c7b0-7eab-4047-beb1-5473929b8269" xmlns:ns3="c8f23424-6fc1-41cb-a498-3d11e694ecd8" xmlns:ns4="7030c933-5865-4f95-ac5e-d75d38a82142" targetNamespace="http://schemas.microsoft.com/office/2006/metadata/properties" ma:root="true" ma:fieldsID="57ee6b3998d5cd8b9328ed8216d2dd60" ns2:_="" ns3:_="" ns4:_="">
    <xsd:import namespace="f550c7b0-7eab-4047-beb1-5473929b8269"/>
    <xsd:import namespace="c8f23424-6fc1-41cb-a498-3d11e694ecd8"/>
    <xsd:import namespace="7030c933-5865-4f95-ac5e-d75d38a821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4:TaxCatchAll" minOccurs="0"/>
                <xsd:element ref="ns3:MediaLengthInSeconds" minOccurs="0"/>
                <xsd:element ref="ns3:MediaServiceSearchProperties" minOccurs="0"/>
                <xsd:element ref="ns3:MediaServiceObjectDetectorVersions" minOccurs="0"/>
                <xsd:element ref="ns3:MediaServiceBillingMetadata" minOccurs="0"/>
                <xsd:element ref="ns3: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c7b0-7eab-4047-beb1-5473929b82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23424-6fc1-41cb-a498-3d11e694ec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e11d0d1-38d1-4904-873b-c9ffc655021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30c933-5865-4f95-ac5e-d75d38a821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559a3f-a17d-4f67-8be8-fd88efc9e460}" ma:internalName="TaxCatchAll" ma:showField="CatchAllData" ma:web="f550c7b0-7eab-4047-beb1-5473929b8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8D95F-5577-435E-8065-9656B0A50689}">
  <ds:schemaRefs>
    <ds:schemaRef ds:uri="http://schemas.microsoft.com/office/2006/metadata/properties"/>
    <ds:schemaRef ds:uri="http://schemas.microsoft.com/office/infopath/2007/PartnerControls"/>
    <ds:schemaRef ds:uri="7030c933-5865-4f95-ac5e-d75d38a82142"/>
    <ds:schemaRef ds:uri="c8f23424-6fc1-41cb-a498-3d11e694ecd8"/>
  </ds:schemaRefs>
</ds:datastoreItem>
</file>

<file path=customXml/itemProps2.xml><?xml version="1.0" encoding="utf-8"?>
<ds:datastoreItem xmlns:ds="http://schemas.openxmlformats.org/officeDocument/2006/customXml" ds:itemID="{646022BD-D563-4BCA-BECE-B0B880C8391E}">
  <ds:schemaRefs>
    <ds:schemaRef ds:uri="http://schemas.openxmlformats.org/officeDocument/2006/bibliography"/>
  </ds:schemaRefs>
</ds:datastoreItem>
</file>

<file path=customXml/itemProps3.xml><?xml version="1.0" encoding="utf-8"?>
<ds:datastoreItem xmlns:ds="http://schemas.openxmlformats.org/officeDocument/2006/customXml" ds:itemID="{330D4C75-F416-4086-8E52-0F9D76233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0c7b0-7eab-4047-beb1-5473929b8269"/>
    <ds:schemaRef ds:uri="c8f23424-6fc1-41cb-a498-3d11e694ecd8"/>
    <ds:schemaRef ds:uri="7030c933-5865-4f95-ac5e-d75d38a82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ED67C-04C9-4A07-BBBF-4A34E533D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2021</Words>
  <Characters>11117</Characters>
  <Application>Microsoft Office Word</Application>
  <DocSecurity>0</DocSecurity>
  <Lines>92</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Michiels</dc:creator>
  <cp:keywords/>
  <dc:description/>
  <cp:lastModifiedBy>Philippe Michiels</cp:lastModifiedBy>
  <cp:revision>49</cp:revision>
  <cp:lastPrinted>2026-04-17T08:50:00Z</cp:lastPrinted>
  <dcterms:created xsi:type="dcterms:W3CDTF">2026-04-17T06:36:00Z</dcterms:created>
  <dcterms:modified xsi:type="dcterms:W3CDTF">2026-04-20T10:18:00Z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0x0101006489F53673199246A2E63ED541DDDE62</vt:lpwstr>
  </property>
  <property fmtid="{D5CDD505-2E9C-101B-9397-08002B2CF9AE}" pid="3" name="MediaServiceImageTags">
    <vt:lpwstr/>
  </property>
</Properties>
</file>