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shd w:val="clear" w:color="auto" w:fill="FFFFFF"/>
        <w:tblCellMar>
          <w:left w:w="0" w:type="dxa"/>
          <w:right w:w="0" w:type="dxa"/>
        </w:tblCellMar>
        <w:tblLook w:val="04A0" w:firstRow="1" w:lastRow="0" w:firstColumn="1" w:lastColumn="0" w:noHBand="0" w:noVBand="1"/>
      </w:tblPr>
      <w:tblGrid>
        <w:gridCol w:w="9000"/>
      </w:tblGrid>
      <w:tr w:rsidR="008B5905" w:rsidRPr="008B5905" w:rsidTr="008B5905">
        <w:tc>
          <w:tcPr>
            <w:tcW w:w="8700" w:type="dxa"/>
            <w:shd w:val="clear" w:color="auto" w:fill="FFFFFF"/>
            <w:tcMar>
              <w:top w:w="0" w:type="dxa"/>
              <w:left w:w="0" w:type="dxa"/>
              <w:bottom w:w="900" w:type="dxa"/>
              <w:right w:w="0" w:type="dxa"/>
            </w:tcMar>
            <w:vAlign w:val="center"/>
            <w:hideMark/>
          </w:tcPr>
          <w:p w:rsidR="008B5905" w:rsidRPr="008B5905" w:rsidRDefault="008B5905" w:rsidP="008B5905">
            <w:pPr>
              <w:spacing w:after="0" w:line="450" w:lineRule="atLeast"/>
              <w:textAlignment w:val="baseline"/>
              <w:rPr>
                <w:rFonts w:ascii="inherit" w:eastAsia="Times New Roman" w:hAnsi="inherit" w:cs="Arial"/>
                <w:color w:val="374151"/>
                <w:sz w:val="45"/>
                <w:szCs w:val="45"/>
                <w:lang w:eastAsia="nl-BE"/>
              </w:rPr>
            </w:pPr>
            <w:r w:rsidRPr="008B5905">
              <w:rPr>
                <w:rFonts w:ascii="inherit" w:eastAsia="Times New Roman" w:hAnsi="inherit" w:cs="Arial"/>
                <w:color w:val="374151"/>
                <w:sz w:val="45"/>
                <w:szCs w:val="45"/>
                <w:lang w:eastAsia="nl-BE"/>
              </w:rPr>
              <w:br/>
              <w:t> </w:t>
            </w:r>
          </w:p>
          <w:tbl>
            <w:tblPr>
              <w:tblW w:w="8700" w:type="dxa"/>
              <w:tblCellMar>
                <w:left w:w="0" w:type="dxa"/>
                <w:right w:w="0" w:type="dxa"/>
              </w:tblCellMar>
              <w:tblLook w:val="04A0" w:firstRow="1" w:lastRow="0" w:firstColumn="1" w:lastColumn="0" w:noHBand="0" w:noVBand="1"/>
            </w:tblPr>
            <w:tblGrid>
              <w:gridCol w:w="8700"/>
            </w:tblGrid>
            <w:tr w:rsidR="008B5905" w:rsidRPr="008B5905" w:rsidTr="008B5905">
              <w:tc>
                <w:tcPr>
                  <w:tcW w:w="0" w:type="auto"/>
                  <w:vAlign w:val="center"/>
                  <w:hideMark/>
                </w:tcPr>
                <w:p w:rsidR="008B5905" w:rsidRPr="008B5905" w:rsidRDefault="008B5905" w:rsidP="008B5905">
                  <w:pPr>
                    <w:spacing w:after="0" w:line="240" w:lineRule="auto"/>
                    <w:jc w:val="center"/>
                    <w:rPr>
                      <w:rFonts w:ascii="Times New Roman" w:eastAsia="Times New Roman" w:hAnsi="Times New Roman" w:cs="Times New Roman"/>
                      <w:sz w:val="24"/>
                      <w:szCs w:val="24"/>
                      <w:lang w:eastAsia="nl-BE"/>
                    </w:rPr>
                  </w:pPr>
                  <w:r w:rsidRPr="008B5905">
                    <w:rPr>
                      <w:rFonts w:ascii="Times New Roman" w:eastAsia="Times New Roman" w:hAnsi="Times New Roman" w:cs="Times New Roman"/>
                      <w:noProof/>
                      <w:color w:val="739DC4"/>
                      <w:sz w:val="24"/>
                      <w:szCs w:val="24"/>
                      <w:bdr w:val="none" w:sz="0" w:space="0" w:color="auto" w:frame="1"/>
                      <w:lang w:eastAsia="nl-BE"/>
                    </w:rPr>
                    <w:drawing>
                      <wp:inline distT="0" distB="0" distL="0" distR="0">
                        <wp:extent cx="4396740" cy="2476500"/>
                        <wp:effectExtent l="0" t="0" r="3810" b="0"/>
                        <wp:docPr id="3" name="Afbeelding 3" descr="https://cdn.uc.assets.prezly.com/9f6d9ef4-4a50-4d2f-bf25-09c78491ceff/-/format/au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uc.assets.prezly.com/9f6d9ef4-4a50-4d2f-bf25-09c78491ceff/-/format/au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740" cy="2476500"/>
                                </a:xfrm>
                                <a:prstGeom prst="rect">
                                  <a:avLst/>
                                </a:prstGeom>
                                <a:noFill/>
                                <a:ln>
                                  <a:noFill/>
                                </a:ln>
                              </pic:spPr>
                            </pic:pic>
                          </a:graphicData>
                        </a:graphic>
                      </wp:inline>
                    </w:drawing>
                  </w:r>
                </w:p>
              </w:tc>
            </w:tr>
          </w:tbl>
          <w:p w:rsidR="008B5905" w:rsidRPr="008B5905" w:rsidRDefault="008B5905" w:rsidP="008B5905">
            <w:pPr>
              <w:spacing w:after="0" w:line="450" w:lineRule="atLeast"/>
              <w:textAlignment w:val="baseline"/>
              <w:rPr>
                <w:rFonts w:ascii="inherit" w:eastAsia="Times New Roman" w:hAnsi="inherit" w:cs="Arial"/>
                <w:color w:val="374151"/>
                <w:sz w:val="45"/>
                <w:szCs w:val="45"/>
                <w:lang w:eastAsia="nl-BE"/>
              </w:rPr>
            </w:pPr>
            <w:r w:rsidRPr="008B5905">
              <w:rPr>
                <w:rFonts w:ascii="inherit" w:eastAsia="Times New Roman" w:hAnsi="inherit" w:cs="Arial"/>
                <w:color w:val="374151"/>
                <w:sz w:val="45"/>
                <w:szCs w:val="45"/>
                <w:lang w:eastAsia="nl-BE"/>
              </w:rPr>
              <w:t> </w:t>
            </w:r>
          </w:p>
          <w:p w:rsidR="008B5905" w:rsidRPr="008B5905" w:rsidRDefault="008B5905" w:rsidP="008B5905">
            <w:pPr>
              <w:spacing w:after="0" w:line="540" w:lineRule="atLeast"/>
              <w:textAlignment w:val="baseline"/>
              <w:rPr>
                <w:rFonts w:ascii="inherit" w:eastAsia="Times New Roman" w:hAnsi="inherit" w:cs="Arial"/>
                <w:color w:val="374151"/>
                <w:sz w:val="42"/>
                <w:szCs w:val="42"/>
                <w:lang w:eastAsia="nl-BE"/>
              </w:rPr>
            </w:pPr>
            <w:hyperlink r:id="rId7" w:tgtFrame="_blank" w:tooltip="ONWARD® Medical rapporteert financiële en bedrijfsresultaten voor boekjaar 2023 en deelt de hoogtepunten voor 2024 mee" w:history="1">
              <w:r w:rsidRPr="008B5905">
                <w:rPr>
                  <w:rFonts w:ascii="inherit" w:eastAsia="Times New Roman" w:hAnsi="inherit" w:cs="Arial"/>
                  <w:b/>
                  <w:bCs/>
                  <w:color w:val="374151"/>
                  <w:sz w:val="42"/>
                  <w:szCs w:val="42"/>
                  <w:u w:val="single"/>
                  <w:bdr w:val="none" w:sz="0" w:space="0" w:color="auto" w:frame="1"/>
                  <w:lang w:eastAsia="nl-BE"/>
                </w:rPr>
                <w:t>ONWARD</w:t>
              </w:r>
              <w:r w:rsidRPr="008B5905">
                <w:rPr>
                  <w:rFonts w:ascii="inherit" w:eastAsia="Times New Roman" w:hAnsi="inherit" w:cs="Arial"/>
                  <w:b/>
                  <w:bCs/>
                  <w:i/>
                  <w:iCs/>
                  <w:color w:val="374151"/>
                  <w:sz w:val="32"/>
                  <w:szCs w:val="32"/>
                  <w:bdr w:val="none" w:sz="0" w:space="0" w:color="auto" w:frame="1"/>
                  <w:vertAlign w:val="superscript"/>
                  <w:lang w:eastAsia="nl-BE"/>
                </w:rPr>
                <w:t>®</w:t>
              </w:r>
              <w:r w:rsidRPr="008B5905">
                <w:rPr>
                  <w:rFonts w:ascii="inherit" w:eastAsia="Times New Roman" w:hAnsi="inherit" w:cs="Arial"/>
                  <w:b/>
                  <w:bCs/>
                  <w:color w:val="374151"/>
                  <w:sz w:val="42"/>
                  <w:szCs w:val="42"/>
                  <w:u w:val="single"/>
                  <w:bdr w:val="none" w:sz="0" w:space="0" w:color="auto" w:frame="1"/>
                  <w:lang w:eastAsia="nl-BE"/>
                </w:rPr>
                <w:t> </w:t>
              </w:r>
              <w:proofErr w:type="spellStart"/>
              <w:r w:rsidRPr="008B5905">
                <w:rPr>
                  <w:rFonts w:ascii="inherit" w:eastAsia="Times New Roman" w:hAnsi="inherit" w:cs="Arial"/>
                  <w:b/>
                  <w:bCs/>
                  <w:color w:val="374151"/>
                  <w:sz w:val="42"/>
                  <w:szCs w:val="42"/>
                  <w:u w:val="single"/>
                  <w:bdr w:val="none" w:sz="0" w:space="0" w:color="auto" w:frame="1"/>
                  <w:lang w:eastAsia="nl-BE"/>
                </w:rPr>
                <w:t>Medical</w:t>
              </w:r>
              <w:proofErr w:type="spellEnd"/>
              <w:r w:rsidRPr="008B5905">
                <w:rPr>
                  <w:rFonts w:ascii="inherit" w:eastAsia="Times New Roman" w:hAnsi="inherit" w:cs="Arial"/>
                  <w:b/>
                  <w:bCs/>
                  <w:color w:val="374151"/>
                  <w:sz w:val="42"/>
                  <w:szCs w:val="42"/>
                  <w:u w:val="single"/>
                  <w:bdr w:val="none" w:sz="0" w:space="0" w:color="auto" w:frame="1"/>
                  <w:lang w:eastAsia="nl-BE"/>
                </w:rPr>
                <w:t xml:space="preserve"> rapporteert financiële en bedrijfsresultaten voor boekjaar 2023 en deelt de hoogtepunten voor 2024 mee</w:t>
              </w:r>
            </w:hyperlink>
          </w:p>
          <w:p w:rsidR="008B5905" w:rsidRPr="008B5905" w:rsidRDefault="008B5905" w:rsidP="008B5905">
            <w:pPr>
              <w:spacing w:after="0" w:line="150" w:lineRule="atLeast"/>
              <w:textAlignment w:val="baseline"/>
              <w:rPr>
                <w:rFonts w:ascii="inherit" w:eastAsia="Times New Roman" w:hAnsi="inherit" w:cs="Arial"/>
                <w:color w:val="374151"/>
                <w:sz w:val="15"/>
                <w:szCs w:val="15"/>
                <w:lang w:eastAsia="nl-BE"/>
              </w:rPr>
            </w:pPr>
            <w:r w:rsidRPr="008B5905">
              <w:rPr>
                <w:rFonts w:ascii="inherit" w:eastAsia="Times New Roman" w:hAnsi="inherit" w:cs="Arial"/>
                <w:color w:val="374151"/>
                <w:sz w:val="15"/>
                <w:szCs w:val="15"/>
                <w:lang w:eastAsia="nl-BE"/>
              </w:rPr>
              <w:t> </w:t>
            </w:r>
          </w:p>
          <w:p w:rsidR="008B5905" w:rsidRPr="008B5905" w:rsidRDefault="008B5905" w:rsidP="008B5905">
            <w:pPr>
              <w:numPr>
                <w:ilvl w:val="0"/>
                <w:numId w:val="1"/>
              </w:numPr>
              <w:spacing w:after="0" w:line="360" w:lineRule="atLeast"/>
              <w:ind w:left="480"/>
              <w:textAlignment w:val="baseline"/>
              <w:rPr>
                <w:rFonts w:ascii="Arial" w:eastAsia="Times New Roman" w:hAnsi="Arial" w:cs="Arial"/>
                <w:color w:val="374151"/>
                <w:sz w:val="24"/>
                <w:szCs w:val="24"/>
                <w:lang w:eastAsia="nl-BE"/>
              </w:rPr>
            </w:pPr>
            <w:r w:rsidRPr="008B5905">
              <w:rPr>
                <w:rFonts w:ascii="Arial" w:eastAsia="Times New Roman" w:hAnsi="Arial" w:cs="Arial"/>
                <w:i/>
                <w:iCs/>
                <w:color w:val="374151"/>
                <w:sz w:val="24"/>
                <w:szCs w:val="24"/>
                <w:bdr w:val="none" w:sz="0" w:space="0" w:color="auto" w:frame="1"/>
                <w:lang w:eastAsia="nl-BE"/>
              </w:rPr>
              <w:t>FDA De Novo aanvraag ingediend voor ARC-EX® Systeem</w:t>
            </w:r>
          </w:p>
          <w:p w:rsidR="008B5905" w:rsidRPr="008B5905" w:rsidRDefault="008B5905" w:rsidP="008B5905">
            <w:pPr>
              <w:numPr>
                <w:ilvl w:val="0"/>
                <w:numId w:val="1"/>
              </w:numPr>
              <w:spacing w:after="0" w:line="360" w:lineRule="atLeast"/>
              <w:ind w:left="480"/>
              <w:textAlignment w:val="baseline"/>
              <w:rPr>
                <w:rFonts w:ascii="Arial" w:eastAsia="Times New Roman" w:hAnsi="Arial" w:cs="Arial"/>
                <w:color w:val="374151"/>
                <w:sz w:val="24"/>
                <w:szCs w:val="24"/>
                <w:lang w:eastAsia="nl-BE"/>
              </w:rPr>
            </w:pPr>
            <w:r w:rsidRPr="008B5905">
              <w:rPr>
                <w:rFonts w:ascii="Arial" w:eastAsia="Times New Roman" w:hAnsi="Arial" w:cs="Arial"/>
                <w:i/>
                <w:iCs/>
                <w:color w:val="374151"/>
                <w:sz w:val="24"/>
                <w:szCs w:val="24"/>
                <w:bdr w:val="none" w:sz="0" w:space="0" w:color="auto" w:frame="1"/>
                <w:lang w:eastAsia="nl-BE"/>
              </w:rPr>
              <w:t>Met succes EUR 20M aan aandelenkapitaal opgehaald</w:t>
            </w:r>
          </w:p>
          <w:p w:rsidR="008B5905" w:rsidRPr="008B5905" w:rsidRDefault="008B5905" w:rsidP="008B5905">
            <w:pPr>
              <w:numPr>
                <w:ilvl w:val="0"/>
                <w:numId w:val="1"/>
              </w:numPr>
              <w:spacing w:after="0" w:line="360" w:lineRule="atLeast"/>
              <w:ind w:left="480"/>
              <w:textAlignment w:val="baseline"/>
              <w:rPr>
                <w:rFonts w:ascii="Arial" w:eastAsia="Times New Roman" w:hAnsi="Arial" w:cs="Arial"/>
                <w:color w:val="374151"/>
                <w:sz w:val="24"/>
                <w:szCs w:val="24"/>
                <w:lang w:eastAsia="nl-BE"/>
              </w:rPr>
            </w:pPr>
            <w:r w:rsidRPr="008B5905">
              <w:rPr>
                <w:rFonts w:ascii="Arial" w:eastAsia="Times New Roman" w:hAnsi="Arial" w:cs="Arial"/>
                <w:i/>
                <w:iCs/>
                <w:color w:val="374151"/>
                <w:sz w:val="24"/>
                <w:szCs w:val="24"/>
                <w:bdr w:val="none" w:sz="0" w:space="0" w:color="auto" w:frame="1"/>
                <w:lang w:eastAsia="nl-BE"/>
              </w:rPr>
              <w:t>Aankondiging positieve omzet van Up-LIFT klinische studie</w:t>
            </w:r>
          </w:p>
          <w:p w:rsidR="008B5905" w:rsidRPr="008B5905" w:rsidRDefault="008B5905" w:rsidP="008B5905">
            <w:pPr>
              <w:numPr>
                <w:ilvl w:val="0"/>
                <w:numId w:val="1"/>
              </w:numPr>
              <w:spacing w:after="0" w:line="360" w:lineRule="atLeast"/>
              <w:ind w:left="480"/>
              <w:textAlignment w:val="baseline"/>
              <w:rPr>
                <w:rFonts w:ascii="Arial" w:eastAsia="Times New Roman" w:hAnsi="Arial" w:cs="Arial"/>
                <w:color w:val="374151"/>
                <w:sz w:val="24"/>
                <w:szCs w:val="24"/>
                <w:lang w:eastAsia="nl-BE"/>
              </w:rPr>
            </w:pPr>
            <w:r w:rsidRPr="008B5905">
              <w:rPr>
                <w:rFonts w:ascii="Arial" w:eastAsia="Times New Roman" w:hAnsi="Arial" w:cs="Arial"/>
                <w:i/>
                <w:iCs/>
                <w:color w:val="374151"/>
                <w:sz w:val="24"/>
                <w:szCs w:val="24"/>
                <w:bdr w:val="none" w:sz="0" w:space="0" w:color="auto" w:frame="1"/>
                <w:lang w:eastAsia="nl-BE"/>
              </w:rPr>
              <w:t xml:space="preserve">Samenwerkingsverband aangegaan om snelle toegang te bieden aan de Amerikaanse </w:t>
            </w:r>
            <w:proofErr w:type="spellStart"/>
            <w:r w:rsidRPr="008B5905">
              <w:rPr>
                <w:rFonts w:ascii="Arial" w:eastAsia="Times New Roman" w:hAnsi="Arial" w:cs="Arial"/>
                <w:i/>
                <w:iCs/>
                <w:color w:val="374151"/>
                <w:sz w:val="24"/>
                <w:szCs w:val="24"/>
                <w:bdr w:val="none" w:sz="0" w:space="0" w:color="auto" w:frame="1"/>
                <w:lang w:eastAsia="nl-BE"/>
              </w:rPr>
              <w:t>Veterans</w:t>
            </w:r>
            <w:proofErr w:type="spellEnd"/>
            <w:r w:rsidRPr="008B5905">
              <w:rPr>
                <w:rFonts w:ascii="Arial" w:eastAsia="Times New Roman" w:hAnsi="Arial" w:cs="Arial"/>
                <w:i/>
                <w:iCs/>
                <w:color w:val="374151"/>
                <w:sz w:val="24"/>
                <w:szCs w:val="24"/>
                <w:bdr w:val="none" w:sz="0" w:space="0" w:color="auto" w:frame="1"/>
                <w:lang w:eastAsia="nl-BE"/>
              </w:rPr>
              <w:t xml:space="preserve"> Health Administration</w:t>
            </w:r>
          </w:p>
          <w:p w:rsidR="008B5905" w:rsidRPr="008B5905" w:rsidRDefault="008B5905" w:rsidP="008B5905">
            <w:pPr>
              <w:numPr>
                <w:ilvl w:val="0"/>
                <w:numId w:val="1"/>
              </w:numPr>
              <w:spacing w:after="0" w:line="360" w:lineRule="atLeast"/>
              <w:ind w:left="480"/>
              <w:textAlignment w:val="baseline"/>
              <w:rPr>
                <w:rFonts w:ascii="Arial" w:eastAsia="Times New Roman" w:hAnsi="Arial" w:cs="Arial"/>
                <w:color w:val="374151"/>
                <w:sz w:val="24"/>
                <w:szCs w:val="24"/>
                <w:lang w:eastAsia="nl-BE"/>
              </w:rPr>
            </w:pPr>
            <w:r w:rsidRPr="008B5905">
              <w:rPr>
                <w:rFonts w:ascii="Arial" w:eastAsia="Times New Roman" w:hAnsi="Arial" w:cs="Arial"/>
                <w:i/>
                <w:iCs/>
                <w:color w:val="374151"/>
                <w:sz w:val="24"/>
                <w:szCs w:val="24"/>
                <w:bdr w:val="none" w:sz="0" w:space="0" w:color="auto" w:frame="1"/>
                <w:lang w:eastAsia="nl-BE"/>
              </w:rPr>
              <w:t>Pionierswerk op het gebied van hersen-computerinterfacetherapieën voor SCI</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EINDHOVEN, Nederland - 25 april 2024 7u30 - ONWARD </w:t>
            </w:r>
            <w:proofErr w:type="spellStart"/>
            <w:r w:rsidRPr="008B5905">
              <w:rPr>
                <w:rFonts w:ascii="Arial" w:eastAsia="Times New Roman" w:hAnsi="Arial" w:cs="Arial"/>
                <w:color w:val="374151"/>
                <w:sz w:val="24"/>
                <w:szCs w:val="24"/>
                <w:lang w:eastAsia="nl-BE"/>
              </w:rPr>
              <w:t>Medical</w:t>
            </w:r>
            <w:proofErr w:type="spellEnd"/>
            <w:r w:rsidRPr="008B5905">
              <w:rPr>
                <w:rFonts w:ascii="Arial" w:eastAsia="Times New Roman" w:hAnsi="Arial" w:cs="Arial"/>
                <w:color w:val="374151"/>
                <w:sz w:val="24"/>
                <w:szCs w:val="24"/>
                <w:lang w:eastAsia="nl-BE"/>
              </w:rPr>
              <w:t xml:space="preserve"> N.V. (Euronext: ONWD), een medisch technologiebedrijf dat innovatieve ruggenmergstimulatietherapieën creëert om beweging, functie en onafhankelijkheid te herstellen bij mensen met een dwarslaesie (SCI), maakt vandaag haar financiële en operationele resultaten voor het volledige jaar 2023 bekend.</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tbl>
            <w:tblPr>
              <w:tblW w:w="8700" w:type="dxa"/>
              <w:tblCellMar>
                <w:left w:w="0" w:type="dxa"/>
                <w:right w:w="0" w:type="dxa"/>
              </w:tblCellMar>
              <w:tblLook w:val="04A0" w:firstRow="1" w:lastRow="0" w:firstColumn="1" w:lastColumn="0" w:noHBand="0" w:noVBand="1"/>
            </w:tblPr>
            <w:tblGrid>
              <w:gridCol w:w="8700"/>
            </w:tblGrid>
            <w:tr w:rsidR="008B5905" w:rsidRPr="008B5905" w:rsidTr="008B5905">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700"/>
                  </w:tblGrid>
                  <w:tr w:rsidR="008B5905" w:rsidRPr="008B5905">
                    <w:tc>
                      <w:tcPr>
                        <w:tcW w:w="0" w:type="auto"/>
                        <w:shd w:val="clear" w:color="auto" w:fill="F9F9FA"/>
                        <w:tcMar>
                          <w:top w:w="360" w:type="dxa"/>
                          <w:left w:w="360" w:type="dxa"/>
                          <w:bottom w:w="360" w:type="dxa"/>
                          <w:right w:w="360" w:type="dxa"/>
                        </w:tcMar>
                        <w:vAlign w:val="center"/>
                        <w:hideMark/>
                      </w:tcPr>
                      <w:tbl>
                        <w:tblPr>
                          <w:tblW w:w="0" w:type="auto"/>
                          <w:tblBorders>
                            <w:left w:val="single" w:sz="12" w:space="0" w:color="D1D5DB"/>
                          </w:tblBorders>
                          <w:tblCellMar>
                            <w:top w:w="15" w:type="dxa"/>
                            <w:left w:w="15" w:type="dxa"/>
                            <w:bottom w:w="15" w:type="dxa"/>
                            <w:right w:w="15" w:type="dxa"/>
                          </w:tblCellMar>
                          <w:tblLook w:val="04A0" w:firstRow="1" w:lastRow="0" w:firstColumn="1" w:lastColumn="0" w:noHBand="0" w:noVBand="1"/>
                        </w:tblPr>
                        <w:tblGrid>
                          <w:gridCol w:w="7965"/>
                        </w:tblGrid>
                        <w:tr w:rsidR="008B5905" w:rsidRPr="008B5905">
                          <w:tc>
                            <w:tcPr>
                              <w:tcW w:w="0" w:type="auto"/>
                              <w:tcMar>
                                <w:top w:w="0" w:type="dxa"/>
                                <w:left w:w="240" w:type="dxa"/>
                                <w:bottom w:w="0" w:type="dxa"/>
                                <w:right w:w="0" w:type="dxa"/>
                              </w:tcMar>
                              <w:vAlign w:val="center"/>
                              <w:hideMark/>
                            </w:tcPr>
                            <w:p w:rsidR="008B5905" w:rsidRPr="008B5905" w:rsidRDefault="008B5905" w:rsidP="008B5905">
                              <w:pPr>
                                <w:spacing w:after="100" w:line="360" w:lineRule="atLeast"/>
                                <w:rPr>
                                  <w:rFonts w:ascii="Times New Roman" w:eastAsia="Times New Roman" w:hAnsi="Times New Roman" w:cs="Times New Roman"/>
                                  <w:color w:val="374151"/>
                                  <w:sz w:val="24"/>
                                  <w:szCs w:val="24"/>
                                  <w:lang w:eastAsia="nl-BE"/>
                                </w:rPr>
                              </w:pPr>
                              <w:r w:rsidRPr="008B5905">
                                <w:rPr>
                                  <w:rFonts w:ascii="Times New Roman" w:eastAsia="Times New Roman" w:hAnsi="Times New Roman" w:cs="Times New Roman"/>
                                  <w:color w:val="374151"/>
                                  <w:sz w:val="24"/>
                                  <w:szCs w:val="24"/>
                                  <w:lang w:eastAsia="nl-BE"/>
                                </w:rPr>
                                <w:lastRenderedPageBreak/>
                                <w:t xml:space="preserve">“In 2023 hebben we aanzienlijke vooruitgang geboekt ten opzichte van onze doelstellingen en hebben we de basis gelegd om ons ARC-EX Systeem later dit jaar op de Amerikaanse markt te brengen”, zegt Dave </w:t>
                              </w:r>
                              <w:proofErr w:type="spellStart"/>
                              <w:r w:rsidRPr="008B5905">
                                <w:rPr>
                                  <w:rFonts w:ascii="Times New Roman" w:eastAsia="Times New Roman" w:hAnsi="Times New Roman" w:cs="Times New Roman"/>
                                  <w:color w:val="374151"/>
                                  <w:sz w:val="24"/>
                                  <w:szCs w:val="24"/>
                                  <w:lang w:eastAsia="nl-BE"/>
                                </w:rPr>
                                <w:t>Marver</w:t>
                              </w:r>
                              <w:proofErr w:type="spellEnd"/>
                              <w:r w:rsidRPr="008B5905">
                                <w:rPr>
                                  <w:rFonts w:ascii="Times New Roman" w:eastAsia="Times New Roman" w:hAnsi="Times New Roman" w:cs="Times New Roman"/>
                                  <w:color w:val="374151"/>
                                  <w:sz w:val="24"/>
                                  <w:szCs w:val="24"/>
                                  <w:lang w:eastAsia="nl-BE"/>
                                </w:rPr>
                                <w:t xml:space="preserve">, CEO van ONWARD </w:t>
                              </w:r>
                              <w:proofErr w:type="spellStart"/>
                              <w:r w:rsidRPr="008B5905">
                                <w:rPr>
                                  <w:rFonts w:ascii="Times New Roman" w:eastAsia="Times New Roman" w:hAnsi="Times New Roman" w:cs="Times New Roman"/>
                                  <w:color w:val="374151"/>
                                  <w:sz w:val="24"/>
                                  <w:szCs w:val="24"/>
                                  <w:lang w:eastAsia="nl-BE"/>
                                </w:rPr>
                                <w:t>Medical</w:t>
                              </w:r>
                              <w:proofErr w:type="spellEnd"/>
                              <w:r w:rsidRPr="008B5905">
                                <w:rPr>
                                  <w:rFonts w:ascii="Times New Roman" w:eastAsia="Times New Roman" w:hAnsi="Times New Roman" w:cs="Times New Roman"/>
                                  <w:color w:val="374151"/>
                                  <w:sz w:val="24"/>
                                  <w:szCs w:val="24"/>
                                  <w:lang w:eastAsia="nl-BE"/>
                                </w:rPr>
                                <w:t>. “We gaan in 2024 opnieuw sterk van start met het ophalen van EUR 20 miljoen aan aandelenkapitaal en het indienen van onze De Novo aanvraag bij de FDA voor het ARC-EX Systeem.”</w:t>
                              </w: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before="120" w:after="0" w:line="480" w:lineRule="atLeast"/>
              <w:textAlignment w:val="baseline"/>
              <w:outlineLvl w:val="1"/>
              <w:rPr>
                <w:rFonts w:ascii="Arial" w:eastAsia="Times New Roman" w:hAnsi="Arial" w:cs="Arial"/>
                <w:b/>
                <w:bCs/>
                <w:color w:val="374151"/>
                <w:sz w:val="36"/>
                <w:szCs w:val="36"/>
                <w:lang w:eastAsia="nl-BE"/>
              </w:rPr>
            </w:pPr>
            <w:r w:rsidRPr="008B5905">
              <w:rPr>
                <w:rFonts w:ascii="Arial" w:eastAsia="Times New Roman" w:hAnsi="Arial" w:cs="Arial"/>
                <w:b/>
                <w:bCs/>
                <w:color w:val="374151"/>
                <w:sz w:val="36"/>
                <w:szCs w:val="36"/>
                <w:lang w:eastAsia="nl-BE"/>
              </w:rPr>
              <w:t>Hoogtepunten voor boekjaar 2023 en begin 2024</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Klinisch en ontwikkeling:</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april 2023, tijdens de American Academy of </w:t>
            </w:r>
            <w:proofErr w:type="spellStart"/>
            <w:r w:rsidRPr="008B5905">
              <w:rPr>
                <w:rFonts w:ascii="Arial" w:eastAsia="Times New Roman" w:hAnsi="Arial" w:cs="Arial"/>
                <w:color w:val="374151"/>
                <w:sz w:val="24"/>
                <w:szCs w:val="24"/>
                <w:lang w:eastAsia="nl-BE"/>
              </w:rPr>
              <w:t>Neurology</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Annual</w:t>
            </w:r>
            <w:proofErr w:type="spellEnd"/>
            <w:r w:rsidRPr="008B5905">
              <w:rPr>
                <w:rFonts w:ascii="Arial" w:eastAsia="Times New Roman" w:hAnsi="Arial" w:cs="Arial"/>
                <w:color w:val="374151"/>
                <w:sz w:val="24"/>
                <w:szCs w:val="24"/>
                <w:lang w:eastAsia="nl-BE"/>
              </w:rPr>
              <w:t xml:space="preserve"> Meeting, deelde neurochirurg Dr. James </w:t>
            </w:r>
            <w:proofErr w:type="spellStart"/>
            <w:r w:rsidRPr="008B5905">
              <w:rPr>
                <w:rFonts w:ascii="Arial" w:eastAsia="Times New Roman" w:hAnsi="Arial" w:cs="Arial"/>
                <w:color w:val="374151"/>
                <w:sz w:val="24"/>
                <w:szCs w:val="24"/>
                <w:lang w:eastAsia="nl-BE"/>
              </w:rPr>
              <w:t>Guest</w:t>
            </w:r>
            <w:proofErr w:type="spellEnd"/>
            <w:r w:rsidRPr="008B5905">
              <w:rPr>
                <w:rFonts w:ascii="Arial" w:eastAsia="Times New Roman" w:hAnsi="Arial" w:cs="Arial"/>
                <w:color w:val="374151"/>
                <w:sz w:val="24"/>
                <w:szCs w:val="24"/>
                <w:lang w:eastAsia="nl-BE"/>
              </w:rPr>
              <w:t xml:space="preserve"> van de Universiteit van Miami en het Miami Project </w:t>
            </w:r>
            <w:proofErr w:type="spellStart"/>
            <w:r w:rsidRPr="008B5905">
              <w:rPr>
                <w:rFonts w:ascii="Arial" w:eastAsia="Times New Roman" w:hAnsi="Arial" w:cs="Arial"/>
                <w:color w:val="374151"/>
                <w:sz w:val="24"/>
                <w:szCs w:val="24"/>
                <w:lang w:eastAsia="nl-BE"/>
              </w:rPr>
              <w:t>to</w:t>
            </w:r>
            <w:proofErr w:type="spellEnd"/>
            <w:r w:rsidRPr="008B5905">
              <w:rPr>
                <w:rFonts w:ascii="Arial" w:eastAsia="Times New Roman" w:hAnsi="Arial" w:cs="Arial"/>
                <w:color w:val="374151"/>
                <w:sz w:val="24"/>
                <w:szCs w:val="24"/>
                <w:lang w:eastAsia="nl-BE"/>
              </w:rPr>
              <w:t xml:space="preserve"> Cure </w:t>
            </w:r>
            <w:proofErr w:type="spellStart"/>
            <w:r w:rsidRPr="008B5905">
              <w:rPr>
                <w:rFonts w:ascii="Arial" w:eastAsia="Times New Roman" w:hAnsi="Arial" w:cs="Arial"/>
                <w:color w:val="374151"/>
                <w:sz w:val="24"/>
                <w:szCs w:val="24"/>
                <w:lang w:eastAsia="nl-BE"/>
              </w:rPr>
              <w:t>Paralysis</w:t>
            </w:r>
            <w:proofErr w:type="spellEnd"/>
            <w:r w:rsidRPr="008B5905">
              <w:rPr>
                <w:rFonts w:ascii="Arial" w:eastAsia="Times New Roman" w:hAnsi="Arial" w:cs="Arial"/>
                <w:color w:val="374151"/>
                <w:sz w:val="24"/>
                <w:szCs w:val="24"/>
                <w:lang w:eastAsia="nl-BE"/>
              </w:rPr>
              <w:t xml:space="preserve"> mee dat, naast het voldoen aan alle primaire veiligheids- en effectiviteits-eindpunten, de Up-LIFT klinische studie aantoonde dat 72% van de deelnemers reageerde op ARC-EX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 .</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mei 2023 publiceerde Nature over de voortgang van een deelnemer aan een klinische haalbaarheidsstudie uit 2021 waarin de ARC-IM®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 van het bedrijf voor het eerst werd gekoppeld aan een geïmplanteerde brein-computer interface (BCI), wat ertoe leidde dat die persoon meer controle kreeg over wanneer en hoe hij zijn verlamde benen bewoog. In augustus 2023 voltooide het bedrijf ook de succesvolle eerste toepassing bij mensen van een geïmplanteerde BCI in combinatie met het ARC-IM systeem om een persoon met SCI te helpen om </w:t>
            </w:r>
            <w:proofErr w:type="spellStart"/>
            <w:r w:rsidRPr="008B5905">
              <w:rPr>
                <w:rFonts w:ascii="Arial" w:eastAsia="Times New Roman" w:hAnsi="Arial" w:cs="Arial"/>
                <w:color w:val="374151"/>
                <w:sz w:val="24"/>
                <w:szCs w:val="24"/>
                <w:lang w:eastAsia="nl-BE"/>
              </w:rPr>
              <w:t>gedachtegestuurde</w:t>
            </w:r>
            <w:proofErr w:type="spellEnd"/>
            <w:r w:rsidRPr="008B5905">
              <w:rPr>
                <w:rFonts w:ascii="Arial" w:eastAsia="Times New Roman" w:hAnsi="Arial" w:cs="Arial"/>
                <w:color w:val="374151"/>
                <w:sz w:val="24"/>
                <w:szCs w:val="24"/>
                <w:lang w:eastAsia="nl-BE"/>
              </w:rPr>
              <w:t xml:space="preserve"> bewegingen in zijn armen en handen te herstellen. Het bedrijf noemt dit gecombineerde platform dat </w:t>
            </w:r>
            <w:proofErr w:type="spellStart"/>
            <w:r w:rsidRPr="008B5905">
              <w:rPr>
                <w:rFonts w:ascii="Arial" w:eastAsia="Times New Roman" w:hAnsi="Arial" w:cs="Arial"/>
                <w:color w:val="374151"/>
                <w:sz w:val="24"/>
                <w:szCs w:val="24"/>
                <w:lang w:eastAsia="nl-BE"/>
              </w:rPr>
              <w:t>gedachtegestuurde</w:t>
            </w:r>
            <w:proofErr w:type="spellEnd"/>
            <w:r w:rsidRPr="008B5905">
              <w:rPr>
                <w:rFonts w:ascii="Arial" w:eastAsia="Times New Roman" w:hAnsi="Arial" w:cs="Arial"/>
                <w:color w:val="374151"/>
                <w:sz w:val="24"/>
                <w:szCs w:val="24"/>
                <w:lang w:eastAsia="nl-BE"/>
              </w:rPr>
              <w:t xml:space="preserve"> beweging mogelijk maakt het “ARC-BCI™ Systeem”.</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mei 2023 voltooide het bedrijf ook de succesvolle eerste toepassing bij mensen van de ARC-IM Lead, ontworpen om ARC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 toe te dienen in gebieden van het ruggenmerg die verantwoordelijk zijn voor een specifieke functie, zoals mobiliteit of bloeddrukregeling. Het bedrijf ontwikkelt een portfolio van ARC-IM Leads, elk geoptimaliseerd voor plaatsing op een ander deel van het ruggenmerg.</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lastRenderedPageBreak/>
              <w:t xml:space="preserve">- In september 2023 breidde het bedrijf zijn </w:t>
            </w:r>
            <w:proofErr w:type="spellStart"/>
            <w:r w:rsidRPr="008B5905">
              <w:rPr>
                <w:rFonts w:ascii="Arial" w:eastAsia="Times New Roman" w:hAnsi="Arial" w:cs="Arial"/>
                <w:color w:val="374151"/>
                <w:sz w:val="24"/>
                <w:szCs w:val="24"/>
                <w:lang w:eastAsia="nl-BE"/>
              </w:rPr>
              <w:t>HemON</w:t>
            </w:r>
            <w:proofErr w:type="spellEnd"/>
            <w:r w:rsidRPr="008B5905">
              <w:rPr>
                <w:rFonts w:ascii="Arial" w:eastAsia="Times New Roman" w:hAnsi="Arial" w:cs="Arial"/>
                <w:color w:val="374151"/>
                <w:sz w:val="24"/>
                <w:szCs w:val="24"/>
                <w:lang w:eastAsia="nl-BE"/>
              </w:rPr>
              <w:t xml:space="preserve"> klinische haalbaarheidsstudie uit om het gebruik van het ARC-IM systeem te onderzoeken voor het verbeteren van de bloeddrukregulatie na SCI met de toevoeging van Sint Maartenskliniek in Nederland. Deze extra </w:t>
            </w:r>
            <w:proofErr w:type="spellStart"/>
            <w:r w:rsidRPr="008B5905">
              <w:rPr>
                <w:rFonts w:ascii="Arial" w:eastAsia="Times New Roman" w:hAnsi="Arial" w:cs="Arial"/>
                <w:color w:val="374151"/>
                <w:sz w:val="24"/>
                <w:szCs w:val="24"/>
                <w:lang w:eastAsia="nl-BE"/>
              </w:rPr>
              <w:t>onderzoekssite</w:t>
            </w:r>
            <w:proofErr w:type="spellEnd"/>
            <w:r w:rsidRPr="008B5905">
              <w:rPr>
                <w:rFonts w:ascii="Arial" w:eastAsia="Times New Roman" w:hAnsi="Arial" w:cs="Arial"/>
                <w:color w:val="374151"/>
                <w:sz w:val="24"/>
                <w:szCs w:val="24"/>
                <w:lang w:eastAsia="nl-BE"/>
              </w:rPr>
              <w:t xml:space="preserve"> bereidt het bedrijf voor op de verwachte start in het vierde kwartaal van 2024 van een wereldwijde pivotale studie genaamd </w:t>
            </w:r>
            <w:proofErr w:type="spellStart"/>
            <w:r w:rsidRPr="008B5905">
              <w:rPr>
                <w:rFonts w:ascii="Arial" w:eastAsia="Times New Roman" w:hAnsi="Arial" w:cs="Arial"/>
                <w:color w:val="374151"/>
                <w:sz w:val="24"/>
                <w:szCs w:val="24"/>
                <w:lang w:eastAsia="nl-BE"/>
              </w:rPr>
              <w:t>Empower</w:t>
            </w:r>
            <w:proofErr w:type="spellEnd"/>
            <w:r w:rsidRPr="008B5905">
              <w:rPr>
                <w:rFonts w:ascii="Arial" w:eastAsia="Times New Roman" w:hAnsi="Arial" w:cs="Arial"/>
                <w:color w:val="374151"/>
                <w:sz w:val="24"/>
                <w:szCs w:val="24"/>
                <w:lang w:eastAsia="nl-BE"/>
              </w:rPr>
              <w:t xml:space="preserve"> BP om de veiligheid en werkzaamheid van ARC-IM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 ter verbetering van de bloeddrukregulatie te beoordelen.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november 2023 kondigde het bedrijf een publicatie in Nature </w:t>
            </w:r>
            <w:proofErr w:type="spellStart"/>
            <w:r w:rsidRPr="008B5905">
              <w:rPr>
                <w:rFonts w:ascii="Arial" w:eastAsia="Times New Roman" w:hAnsi="Arial" w:cs="Arial"/>
                <w:color w:val="374151"/>
                <w:sz w:val="24"/>
                <w:szCs w:val="24"/>
                <w:lang w:eastAsia="nl-BE"/>
              </w:rPr>
              <w:t>Medicine</w:t>
            </w:r>
            <w:proofErr w:type="spellEnd"/>
            <w:r w:rsidRPr="008B5905">
              <w:rPr>
                <w:rFonts w:ascii="Arial" w:eastAsia="Times New Roman" w:hAnsi="Arial" w:cs="Arial"/>
                <w:color w:val="374151"/>
                <w:sz w:val="24"/>
                <w:szCs w:val="24"/>
                <w:lang w:eastAsia="nl-BE"/>
              </w:rPr>
              <w:t xml:space="preserve"> aan waarin het potentieel van ARC-IM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 voor de aanpak van loopproblemen bij de ziekte van Parkinson werd benadrukt. In november kreeg ONWARD </w:t>
            </w:r>
            <w:proofErr w:type="spellStart"/>
            <w:r w:rsidRPr="008B5905">
              <w:rPr>
                <w:rFonts w:ascii="Arial" w:eastAsia="Times New Roman" w:hAnsi="Arial" w:cs="Arial"/>
                <w:color w:val="374151"/>
                <w:sz w:val="24"/>
                <w:szCs w:val="24"/>
                <w:lang w:eastAsia="nl-BE"/>
              </w:rPr>
              <w:t>Medical</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onderzoekspartner</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NeuroRestore</w:t>
            </w:r>
            <w:proofErr w:type="spellEnd"/>
            <w:r w:rsidRPr="008B5905">
              <w:rPr>
                <w:rFonts w:ascii="Arial" w:eastAsia="Times New Roman" w:hAnsi="Arial" w:cs="Arial"/>
                <w:color w:val="374151"/>
                <w:sz w:val="24"/>
                <w:szCs w:val="24"/>
                <w:lang w:eastAsia="nl-BE"/>
              </w:rPr>
              <w:t xml:space="preserve"> een subsidie van $ 1 miljoen van de Michael J. Fox Foundation </w:t>
            </w:r>
            <w:proofErr w:type="spellStart"/>
            <w:r w:rsidRPr="008B5905">
              <w:rPr>
                <w:rFonts w:ascii="Arial" w:eastAsia="Times New Roman" w:hAnsi="Arial" w:cs="Arial"/>
                <w:color w:val="374151"/>
                <w:sz w:val="24"/>
                <w:szCs w:val="24"/>
                <w:lang w:eastAsia="nl-BE"/>
              </w:rPr>
              <w:t>for</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Parkinson's</w:t>
            </w:r>
            <w:proofErr w:type="spellEnd"/>
            <w:r w:rsidRPr="008B5905">
              <w:rPr>
                <w:rFonts w:ascii="Arial" w:eastAsia="Times New Roman" w:hAnsi="Arial" w:cs="Arial"/>
                <w:color w:val="374151"/>
                <w:sz w:val="24"/>
                <w:szCs w:val="24"/>
                <w:lang w:eastAsia="nl-BE"/>
              </w:rPr>
              <w:t xml:space="preserve"> Research (MJFF) om het ARC-IM systeem van het bedrijf te implanteren en de impact van ARC-IM therapie te onderzoeken bij zes extra deelnemers met de ziekte van Parkinson.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2023 ontving het bedrijf vijf nieuwe </w:t>
            </w:r>
            <w:proofErr w:type="spellStart"/>
            <w:r w:rsidRPr="008B5905">
              <w:rPr>
                <w:rFonts w:ascii="Arial" w:eastAsia="Times New Roman" w:hAnsi="Arial" w:cs="Arial"/>
                <w:color w:val="374151"/>
                <w:sz w:val="24"/>
                <w:szCs w:val="24"/>
                <w:lang w:eastAsia="nl-BE"/>
              </w:rPr>
              <w:t>Breakthrough</w:t>
            </w:r>
            <w:proofErr w:type="spellEnd"/>
            <w:r w:rsidRPr="008B5905">
              <w:rPr>
                <w:rFonts w:ascii="Arial" w:eastAsia="Times New Roman" w:hAnsi="Arial" w:cs="Arial"/>
                <w:color w:val="374151"/>
                <w:sz w:val="24"/>
                <w:szCs w:val="24"/>
                <w:lang w:eastAsia="nl-BE"/>
              </w:rPr>
              <w:t xml:space="preserve"> Device </w:t>
            </w:r>
            <w:proofErr w:type="spellStart"/>
            <w:r w:rsidRPr="008B5905">
              <w:rPr>
                <w:rFonts w:ascii="Arial" w:eastAsia="Times New Roman" w:hAnsi="Arial" w:cs="Arial"/>
                <w:color w:val="374151"/>
                <w:sz w:val="24"/>
                <w:szCs w:val="24"/>
                <w:lang w:eastAsia="nl-BE"/>
              </w:rPr>
              <w:t>Designations</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BDD's</w:t>
            </w:r>
            <w:proofErr w:type="spellEnd"/>
            <w:r w:rsidRPr="008B5905">
              <w:rPr>
                <w:rFonts w:ascii="Arial" w:eastAsia="Times New Roman" w:hAnsi="Arial" w:cs="Arial"/>
                <w:color w:val="374151"/>
                <w:sz w:val="24"/>
                <w:szCs w:val="24"/>
                <w:lang w:eastAsia="nl-BE"/>
              </w:rPr>
              <w:t xml:space="preserve">) van de Amerikaanse Food &amp; Drug Administration (FDA) voor zijn ARC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xml:space="preserve">-platforms, waarmee het totale aantal </w:t>
            </w:r>
            <w:proofErr w:type="spellStart"/>
            <w:r w:rsidRPr="008B5905">
              <w:rPr>
                <w:rFonts w:ascii="Arial" w:eastAsia="Times New Roman" w:hAnsi="Arial" w:cs="Arial"/>
                <w:color w:val="374151"/>
                <w:sz w:val="24"/>
                <w:szCs w:val="24"/>
                <w:lang w:eastAsia="nl-BE"/>
              </w:rPr>
              <w:t>BDD's</w:t>
            </w:r>
            <w:proofErr w:type="spellEnd"/>
            <w:r w:rsidRPr="008B5905">
              <w:rPr>
                <w:rFonts w:ascii="Arial" w:eastAsia="Times New Roman" w:hAnsi="Arial" w:cs="Arial"/>
                <w:color w:val="374151"/>
                <w:sz w:val="24"/>
                <w:szCs w:val="24"/>
                <w:lang w:eastAsia="nl-BE"/>
              </w:rPr>
              <w:t xml:space="preserve"> van het bedrijf op 9 komt. Een 10e BDD werd toegevoegd voor ARC-BCI in februari 2024.</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maart 2024 was ONWARD pas het tweede BCI-bedrijf dat werd toegelaten tot het nieuwe Total Product </w:t>
            </w:r>
            <w:proofErr w:type="spellStart"/>
            <w:r w:rsidRPr="008B5905">
              <w:rPr>
                <w:rFonts w:ascii="Arial" w:eastAsia="Times New Roman" w:hAnsi="Arial" w:cs="Arial"/>
                <w:color w:val="374151"/>
                <w:sz w:val="24"/>
                <w:szCs w:val="24"/>
                <w:lang w:eastAsia="nl-BE"/>
              </w:rPr>
              <w:t>Lifecycle</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Advisory</w:t>
            </w:r>
            <w:proofErr w:type="spellEnd"/>
            <w:r w:rsidRPr="008B5905">
              <w:rPr>
                <w:rFonts w:ascii="Arial" w:eastAsia="Times New Roman" w:hAnsi="Arial" w:cs="Arial"/>
                <w:color w:val="374151"/>
                <w:sz w:val="24"/>
                <w:szCs w:val="24"/>
                <w:lang w:eastAsia="nl-BE"/>
              </w:rPr>
              <w:t xml:space="preserve"> Program (TAP) van de FDA voor zijn brein-computer-interfacetechnologie.</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In april 2024 kondigde het bedrijf aan dat het een De Novo aanvraag had ingediend bij de Amerikaanse FDA om goedkeuring te krijgen om te beginnen met de marketing van het niet-invasieve ARC-EX systeem in de Verenigde Staten. Goedkeuring wordt verwacht in het vierde kwartaal van 2024.</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Intellectueel eigendom:</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De Vennootschap verkreeg meer dan 50 nieuwe patenten in 2023, wat het totaal aantal patenten op meer dan 240 brengt. ​</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Commercieel:</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lastRenderedPageBreak/>
              <w:t xml:space="preserve">- In september kondigde het bedrijf een samenwerking aan met </w:t>
            </w:r>
            <w:proofErr w:type="spellStart"/>
            <w:r w:rsidRPr="008B5905">
              <w:rPr>
                <w:rFonts w:ascii="Arial" w:eastAsia="Times New Roman" w:hAnsi="Arial" w:cs="Arial"/>
                <w:color w:val="374151"/>
                <w:sz w:val="24"/>
                <w:szCs w:val="24"/>
                <w:lang w:eastAsia="nl-BE"/>
              </w:rPr>
              <w:t>Lovell</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Government</w:t>
            </w:r>
            <w:proofErr w:type="spellEnd"/>
            <w:r w:rsidRPr="008B5905">
              <w:rPr>
                <w:rFonts w:ascii="Arial" w:eastAsia="Times New Roman" w:hAnsi="Arial" w:cs="Arial"/>
                <w:color w:val="374151"/>
                <w:sz w:val="24"/>
                <w:szCs w:val="24"/>
                <w:lang w:eastAsia="nl-BE"/>
              </w:rPr>
              <w:t xml:space="preserve"> Services (</w:t>
            </w:r>
            <w:proofErr w:type="spellStart"/>
            <w:r w:rsidRPr="008B5905">
              <w:rPr>
                <w:rFonts w:ascii="Arial" w:eastAsia="Times New Roman" w:hAnsi="Arial" w:cs="Arial"/>
                <w:color w:val="374151"/>
                <w:sz w:val="24"/>
                <w:szCs w:val="24"/>
                <w:lang w:eastAsia="nl-BE"/>
              </w:rPr>
              <w:t>Lovell</w:t>
            </w:r>
            <w:proofErr w:type="spellEnd"/>
            <w:r w:rsidRPr="008B5905">
              <w:rPr>
                <w:rFonts w:ascii="Arial" w:eastAsia="Times New Roman" w:hAnsi="Arial" w:cs="Arial"/>
                <w:color w:val="374151"/>
                <w:sz w:val="24"/>
                <w:szCs w:val="24"/>
                <w:lang w:eastAsia="nl-BE"/>
              </w:rPr>
              <w:t>), een Service-</w:t>
            </w:r>
            <w:proofErr w:type="spellStart"/>
            <w:r w:rsidRPr="008B5905">
              <w:rPr>
                <w:rFonts w:ascii="Arial" w:eastAsia="Times New Roman" w:hAnsi="Arial" w:cs="Arial"/>
                <w:color w:val="374151"/>
                <w:sz w:val="24"/>
                <w:szCs w:val="24"/>
                <w:lang w:eastAsia="nl-BE"/>
              </w:rPr>
              <w:t>Disabled</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Veteran-Owned</w:t>
            </w:r>
            <w:proofErr w:type="spellEnd"/>
            <w:r w:rsidRPr="008B5905">
              <w:rPr>
                <w:rFonts w:ascii="Arial" w:eastAsia="Times New Roman" w:hAnsi="Arial" w:cs="Arial"/>
                <w:color w:val="374151"/>
                <w:sz w:val="24"/>
                <w:szCs w:val="24"/>
                <w:lang w:eastAsia="nl-BE"/>
              </w:rPr>
              <w:t xml:space="preserve"> Small Business (SDVOSB). </w:t>
            </w:r>
            <w:proofErr w:type="spellStart"/>
            <w:r w:rsidRPr="008B5905">
              <w:rPr>
                <w:rFonts w:ascii="Arial" w:eastAsia="Times New Roman" w:hAnsi="Arial" w:cs="Arial"/>
                <w:color w:val="374151"/>
                <w:sz w:val="24"/>
                <w:szCs w:val="24"/>
                <w:lang w:eastAsia="nl-BE"/>
              </w:rPr>
              <w:t>Lovell</w:t>
            </w:r>
            <w:proofErr w:type="spellEnd"/>
            <w:r w:rsidRPr="008B5905">
              <w:rPr>
                <w:rFonts w:ascii="Arial" w:eastAsia="Times New Roman" w:hAnsi="Arial" w:cs="Arial"/>
                <w:color w:val="374151"/>
                <w:sz w:val="24"/>
                <w:szCs w:val="24"/>
                <w:lang w:eastAsia="nl-BE"/>
              </w:rPr>
              <w:t xml:space="preserve"> is een overheidsleverancier en externe logistieke dienstverlener die samenwerkt met meer dan honderd Amerikaanse zorgverleners. De tweejarige distributieovereenkomst geeft het bedrijf contracttoegang tot de United </w:t>
            </w:r>
            <w:proofErr w:type="spellStart"/>
            <w:r w:rsidRPr="008B5905">
              <w:rPr>
                <w:rFonts w:ascii="Arial" w:eastAsia="Times New Roman" w:hAnsi="Arial" w:cs="Arial"/>
                <w:color w:val="374151"/>
                <w:sz w:val="24"/>
                <w:szCs w:val="24"/>
                <w:lang w:eastAsia="nl-BE"/>
              </w:rPr>
              <w:t>States</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Veterans</w:t>
            </w:r>
            <w:proofErr w:type="spellEnd"/>
            <w:r w:rsidRPr="008B5905">
              <w:rPr>
                <w:rFonts w:ascii="Arial" w:eastAsia="Times New Roman" w:hAnsi="Arial" w:cs="Arial"/>
                <w:color w:val="374151"/>
                <w:sz w:val="24"/>
                <w:szCs w:val="24"/>
                <w:lang w:eastAsia="nl-BE"/>
              </w:rPr>
              <w:t xml:space="preserve"> Health Administration, 's werelds grootste gezondheidszorgsysteem dat SCI-zorg levert, en het Military Health System van het Amerikaanse Ministerie van Defensie, 's werelds grootste militaire zorgverlener.</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Bedrijfsnieuws:</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het eerste kwartaal versterkte het bedrijf zijn leiderschapsteam met de benoeming van Erika Ross </w:t>
            </w:r>
            <w:proofErr w:type="spellStart"/>
            <w:r w:rsidRPr="008B5905">
              <w:rPr>
                <w:rFonts w:ascii="Arial" w:eastAsia="Times New Roman" w:hAnsi="Arial" w:cs="Arial"/>
                <w:color w:val="374151"/>
                <w:sz w:val="24"/>
                <w:szCs w:val="24"/>
                <w:lang w:eastAsia="nl-BE"/>
              </w:rPr>
              <w:t>Ellison</w:t>
            </w:r>
            <w:proofErr w:type="spellEnd"/>
            <w:r w:rsidRPr="008B5905">
              <w:rPr>
                <w:rFonts w:ascii="Arial" w:eastAsia="Times New Roman" w:hAnsi="Arial" w:cs="Arial"/>
                <w:color w:val="374151"/>
                <w:sz w:val="24"/>
                <w:szCs w:val="24"/>
                <w:lang w:eastAsia="nl-BE"/>
              </w:rPr>
              <w:t xml:space="preserve"> tot vicepresident Global </w:t>
            </w:r>
            <w:proofErr w:type="spellStart"/>
            <w:r w:rsidRPr="008B5905">
              <w:rPr>
                <w:rFonts w:ascii="Arial" w:eastAsia="Times New Roman" w:hAnsi="Arial" w:cs="Arial"/>
                <w:color w:val="374151"/>
                <w:sz w:val="24"/>
                <w:szCs w:val="24"/>
                <w:lang w:eastAsia="nl-BE"/>
              </w:rPr>
              <w:t>Clinical</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Regulatory</w:t>
            </w:r>
            <w:proofErr w:type="spellEnd"/>
            <w:r w:rsidRPr="008B5905">
              <w:rPr>
                <w:rFonts w:ascii="Arial" w:eastAsia="Times New Roman" w:hAnsi="Arial" w:cs="Arial"/>
                <w:color w:val="374151"/>
                <w:sz w:val="24"/>
                <w:szCs w:val="24"/>
                <w:lang w:eastAsia="nl-BE"/>
              </w:rPr>
              <w:t xml:space="preserve"> en </w:t>
            </w:r>
            <w:proofErr w:type="spellStart"/>
            <w:r w:rsidRPr="008B5905">
              <w:rPr>
                <w:rFonts w:ascii="Arial" w:eastAsia="Times New Roman" w:hAnsi="Arial" w:cs="Arial"/>
                <w:color w:val="374151"/>
                <w:sz w:val="24"/>
                <w:szCs w:val="24"/>
                <w:lang w:eastAsia="nl-BE"/>
              </w:rPr>
              <w:t>Quality</w:t>
            </w:r>
            <w:proofErr w:type="spellEnd"/>
            <w:r w:rsidRPr="008B5905">
              <w:rPr>
                <w:rFonts w:ascii="Arial" w:eastAsia="Times New Roman" w:hAnsi="Arial" w:cs="Arial"/>
                <w:color w:val="374151"/>
                <w:sz w:val="24"/>
                <w:szCs w:val="24"/>
                <w:lang w:eastAsia="nl-BE"/>
              </w:rPr>
              <w:t xml:space="preserve"> en Sarah Moore tot vicepresident Global Marketing.</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het tweede kwartaal gaf Bryan, Garnier &amp; Co opnieuw het startsein voor een onderzoek naar ONWARD </w:t>
            </w:r>
            <w:proofErr w:type="spellStart"/>
            <w:r w:rsidRPr="008B5905">
              <w:rPr>
                <w:rFonts w:ascii="Arial" w:eastAsia="Times New Roman" w:hAnsi="Arial" w:cs="Arial"/>
                <w:color w:val="374151"/>
                <w:sz w:val="24"/>
                <w:szCs w:val="24"/>
                <w:lang w:eastAsia="nl-BE"/>
              </w:rPr>
              <w:t>Medical</w:t>
            </w:r>
            <w:proofErr w:type="spellEnd"/>
            <w:r w:rsidRPr="008B5905">
              <w:rPr>
                <w:rFonts w:ascii="Arial" w:eastAsia="Times New Roman" w:hAnsi="Arial" w:cs="Arial"/>
                <w:color w:val="374151"/>
                <w:sz w:val="24"/>
                <w:szCs w:val="24"/>
                <w:lang w:eastAsia="nl-BE"/>
              </w:rPr>
              <w:t xml:space="preserve"> na de aanstelling van een nieuwe analist. In 2024 startten KBC </w:t>
            </w:r>
            <w:proofErr w:type="spellStart"/>
            <w:r w:rsidRPr="008B5905">
              <w:rPr>
                <w:rFonts w:ascii="Arial" w:eastAsia="Times New Roman" w:hAnsi="Arial" w:cs="Arial"/>
                <w:color w:val="374151"/>
                <w:sz w:val="24"/>
                <w:szCs w:val="24"/>
                <w:lang w:eastAsia="nl-BE"/>
              </w:rPr>
              <w:t>Securities</w:t>
            </w:r>
            <w:proofErr w:type="spellEnd"/>
            <w:r w:rsidRPr="008B5905">
              <w:rPr>
                <w:rFonts w:ascii="Arial" w:eastAsia="Times New Roman" w:hAnsi="Arial" w:cs="Arial"/>
                <w:color w:val="374151"/>
                <w:sz w:val="24"/>
                <w:szCs w:val="24"/>
                <w:lang w:eastAsia="nl-BE"/>
              </w:rPr>
              <w:t xml:space="preserve"> en </w:t>
            </w:r>
            <w:proofErr w:type="spellStart"/>
            <w:r w:rsidRPr="008B5905">
              <w:rPr>
                <w:rFonts w:ascii="Arial" w:eastAsia="Times New Roman" w:hAnsi="Arial" w:cs="Arial"/>
                <w:color w:val="374151"/>
                <w:sz w:val="24"/>
                <w:szCs w:val="24"/>
                <w:lang w:eastAsia="nl-BE"/>
              </w:rPr>
              <w:t>Stifel</w:t>
            </w:r>
            <w:proofErr w:type="spellEnd"/>
            <w:r w:rsidRPr="008B5905">
              <w:rPr>
                <w:rFonts w:ascii="Arial" w:eastAsia="Times New Roman" w:hAnsi="Arial" w:cs="Arial"/>
                <w:color w:val="374151"/>
                <w:sz w:val="24"/>
                <w:szCs w:val="24"/>
                <w:lang w:eastAsia="nl-BE"/>
              </w:rPr>
              <w:t xml:space="preserve"> beide een onderzoek naar het bedrijf. Analisten van 5 investeringsbanken dekken ONWARD nu, elk met een </w:t>
            </w:r>
            <w:proofErr w:type="spellStart"/>
            <w:r w:rsidRPr="008B5905">
              <w:rPr>
                <w:rFonts w:ascii="Arial" w:eastAsia="Times New Roman" w:hAnsi="Arial" w:cs="Arial"/>
                <w:color w:val="374151"/>
                <w:sz w:val="24"/>
                <w:szCs w:val="24"/>
                <w:lang w:eastAsia="nl-BE"/>
              </w:rPr>
              <w:t>buy</w:t>
            </w:r>
            <w:proofErr w:type="spellEnd"/>
            <w:r w:rsidRPr="008B5905">
              <w:rPr>
                <w:rFonts w:ascii="Arial" w:eastAsia="Times New Roman" w:hAnsi="Arial" w:cs="Arial"/>
                <w:color w:val="374151"/>
                <w:sz w:val="24"/>
                <w:szCs w:val="24"/>
                <w:lang w:eastAsia="nl-BE"/>
              </w:rPr>
              <w:t xml:space="preserve"> rating en een koersdoel met een aanzienlijke premie ten opzichte van de huidige aandelenprijs.</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In het derde kwartaal trad Robert </w:t>
            </w:r>
            <w:proofErr w:type="spellStart"/>
            <w:r w:rsidRPr="008B5905">
              <w:rPr>
                <w:rFonts w:ascii="Arial" w:eastAsia="Times New Roman" w:hAnsi="Arial" w:cs="Arial"/>
                <w:color w:val="374151"/>
                <w:sz w:val="24"/>
                <w:szCs w:val="24"/>
                <w:lang w:eastAsia="nl-BE"/>
              </w:rPr>
              <w:t>Odell</w:t>
            </w:r>
            <w:proofErr w:type="spellEnd"/>
            <w:r w:rsidRPr="008B5905">
              <w:rPr>
                <w:rFonts w:ascii="Arial" w:eastAsia="Times New Roman" w:hAnsi="Arial" w:cs="Arial"/>
                <w:color w:val="374151"/>
                <w:sz w:val="24"/>
                <w:szCs w:val="24"/>
                <w:lang w:eastAsia="nl-BE"/>
              </w:rPr>
              <w:t xml:space="preserve"> in dienst als </w:t>
            </w:r>
            <w:proofErr w:type="spellStart"/>
            <w:r w:rsidRPr="008B5905">
              <w:rPr>
                <w:rFonts w:ascii="Arial" w:eastAsia="Times New Roman" w:hAnsi="Arial" w:cs="Arial"/>
                <w:color w:val="374151"/>
                <w:sz w:val="24"/>
                <w:szCs w:val="24"/>
                <w:lang w:eastAsia="nl-BE"/>
              </w:rPr>
              <w:t>Vice</w:t>
            </w:r>
            <w:proofErr w:type="spellEnd"/>
            <w:r w:rsidRPr="008B5905">
              <w:rPr>
                <w:rFonts w:ascii="Arial" w:eastAsia="Times New Roman" w:hAnsi="Arial" w:cs="Arial"/>
                <w:color w:val="374151"/>
                <w:sz w:val="24"/>
                <w:szCs w:val="24"/>
                <w:lang w:eastAsia="nl-BE"/>
              </w:rPr>
              <w:t xml:space="preserve"> President of Operations. Robert was voorheen President en Chief Operating </w:t>
            </w:r>
            <w:proofErr w:type="spellStart"/>
            <w:r w:rsidRPr="008B5905">
              <w:rPr>
                <w:rFonts w:ascii="Arial" w:eastAsia="Times New Roman" w:hAnsi="Arial" w:cs="Arial"/>
                <w:color w:val="374151"/>
                <w:sz w:val="24"/>
                <w:szCs w:val="24"/>
                <w:lang w:eastAsia="nl-BE"/>
              </w:rPr>
              <w:t>Officer</w:t>
            </w:r>
            <w:proofErr w:type="spellEnd"/>
            <w:r w:rsidRPr="008B5905">
              <w:rPr>
                <w:rFonts w:ascii="Arial" w:eastAsia="Times New Roman" w:hAnsi="Arial" w:cs="Arial"/>
                <w:color w:val="374151"/>
                <w:sz w:val="24"/>
                <w:szCs w:val="24"/>
                <w:lang w:eastAsia="nl-BE"/>
              </w:rPr>
              <w:t xml:space="preserve"> van </w:t>
            </w:r>
            <w:proofErr w:type="spellStart"/>
            <w:r w:rsidRPr="008B5905">
              <w:rPr>
                <w:rFonts w:ascii="Arial" w:eastAsia="Times New Roman" w:hAnsi="Arial" w:cs="Arial"/>
                <w:color w:val="374151"/>
                <w:sz w:val="24"/>
                <w:szCs w:val="24"/>
                <w:lang w:eastAsia="nl-BE"/>
              </w:rPr>
              <w:t>Cardiac</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Insight</w:t>
            </w:r>
            <w:proofErr w:type="spellEnd"/>
            <w:r w:rsidRPr="008B5905">
              <w:rPr>
                <w:rFonts w:ascii="Arial" w:eastAsia="Times New Roman" w:hAnsi="Arial" w:cs="Arial"/>
                <w:color w:val="374151"/>
                <w:sz w:val="24"/>
                <w:szCs w:val="24"/>
                <w:lang w:eastAsia="nl-BE"/>
              </w:rPr>
              <w:t xml:space="preserve">, Inc. Daarvoor was hij COO van </w:t>
            </w:r>
            <w:proofErr w:type="spellStart"/>
            <w:r w:rsidRPr="008B5905">
              <w:rPr>
                <w:rFonts w:ascii="Arial" w:eastAsia="Times New Roman" w:hAnsi="Arial" w:cs="Arial"/>
                <w:color w:val="374151"/>
                <w:sz w:val="24"/>
                <w:szCs w:val="24"/>
                <w:lang w:eastAsia="nl-BE"/>
              </w:rPr>
              <w:t>Cardiac</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Science</w:t>
            </w:r>
            <w:proofErr w:type="spellEnd"/>
            <w:r w:rsidRPr="008B5905">
              <w:rPr>
                <w:rFonts w:ascii="Arial" w:eastAsia="Times New Roman" w:hAnsi="Arial" w:cs="Arial"/>
                <w:color w:val="374151"/>
                <w:sz w:val="24"/>
                <w:szCs w:val="24"/>
                <w:lang w:eastAsia="nl-BE"/>
              </w:rPr>
              <w:t xml:space="preserve"> Corporation, een beursgenoteerde fabrikant van klasse II en klasse III medische hulpmiddelen.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Financieel:</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De Vennootschap sloot het jaar af met </w:t>
            </w:r>
            <w:proofErr w:type="spellStart"/>
            <w:r w:rsidRPr="008B5905">
              <w:rPr>
                <w:rFonts w:ascii="Arial" w:eastAsia="Times New Roman" w:hAnsi="Arial" w:cs="Arial"/>
                <w:color w:val="374151"/>
                <w:sz w:val="24"/>
                <w:szCs w:val="24"/>
                <w:lang w:eastAsia="nl-BE"/>
              </w:rPr>
              <w:t>nettokasmiddelen</w:t>
            </w:r>
            <w:proofErr w:type="spellEnd"/>
            <w:r w:rsidRPr="008B5905">
              <w:rPr>
                <w:rFonts w:ascii="Arial" w:eastAsia="Times New Roman" w:hAnsi="Arial" w:cs="Arial"/>
                <w:color w:val="374151"/>
                <w:sz w:val="24"/>
                <w:szCs w:val="24"/>
                <w:lang w:eastAsia="nl-BE"/>
              </w:rPr>
              <w:t xml:space="preserve"> van EUR 29,8M (2022: EUR 61,8M).</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Het management bevestigde dat met de bruto-opbrengst van EUR 20,0M uit de kapitaalverhoging in maart 2024, de Vennootschap een cash </w:t>
            </w:r>
            <w:proofErr w:type="spellStart"/>
            <w:r w:rsidRPr="008B5905">
              <w:rPr>
                <w:rFonts w:ascii="Arial" w:eastAsia="Times New Roman" w:hAnsi="Arial" w:cs="Arial"/>
                <w:color w:val="374151"/>
                <w:sz w:val="24"/>
                <w:szCs w:val="24"/>
                <w:lang w:eastAsia="nl-BE"/>
              </w:rPr>
              <w:t>runway</w:t>
            </w:r>
            <w:proofErr w:type="spellEnd"/>
            <w:r w:rsidRPr="008B5905">
              <w:rPr>
                <w:rFonts w:ascii="Arial" w:eastAsia="Times New Roman" w:hAnsi="Arial" w:cs="Arial"/>
                <w:color w:val="374151"/>
                <w:sz w:val="24"/>
                <w:szCs w:val="24"/>
                <w:lang w:eastAsia="nl-BE"/>
              </w:rPr>
              <w:t xml:space="preserve"> heeft tot medio 2025.</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Voor 2023 rapporteerde de Vennootschap een operationeel verlies van EUR 35,5M vergeleken met EUR 32,0M in 2022.</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lastRenderedPageBreak/>
              <w:t> </w:t>
            </w:r>
          </w:p>
          <w:tbl>
            <w:tblPr>
              <w:tblW w:w="8700" w:type="dxa"/>
              <w:tblCellMar>
                <w:top w:w="15" w:type="dxa"/>
                <w:left w:w="15" w:type="dxa"/>
                <w:bottom w:w="15" w:type="dxa"/>
                <w:right w:w="15" w:type="dxa"/>
              </w:tblCellMar>
              <w:tblLook w:val="04A0" w:firstRow="1" w:lastRow="0" w:firstColumn="1" w:lastColumn="0" w:noHBand="0" w:noVBand="1"/>
            </w:tblPr>
            <w:tblGrid>
              <w:gridCol w:w="5688"/>
              <w:gridCol w:w="1506"/>
              <w:gridCol w:w="1506"/>
            </w:tblGrid>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12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i/>
                      <w:iCs/>
                      <w:color w:val="374151"/>
                      <w:sz w:val="24"/>
                      <w:szCs w:val="24"/>
                      <w:lang w:eastAsia="nl-BE"/>
                    </w:rPr>
                    <w:t>In EUR miljoen</w:t>
                  </w:r>
                </w:p>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i/>
                      <w:iCs/>
                      <w:color w:val="374151"/>
                      <w:sz w:val="24"/>
                      <w:szCs w:val="24"/>
                      <w:lang w:eastAsia="nl-BE"/>
                    </w:rPr>
                    <w:t>Voor de periode van 12 maand afgesloten per 31/12/2023</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2023</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2022</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Totale omzet en andere inkomsten</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0.5</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2.1</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Totale bedrijfskosten</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(36.0)</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(34.2)</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Bedrijfsverlies over de periode</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(35.5)</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(32.0)</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Netto financieringskosten</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(0.6)</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(1.5)</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Kosten inkomstenbelasting</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(0.1)</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0.8</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Nettoverlies over de periode</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(36.2)</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(32.8)</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240" w:lineRule="auto"/>
                    <w:rPr>
                      <w:rFonts w:ascii="inherit" w:eastAsia="Times New Roman" w:hAnsi="inherit" w:cs="Times New Roman"/>
                      <w:color w:val="374151"/>
                      <w:sz w:val="24"/>
                      <w:szCs w:val="24"/>
                      <w:lang w:eastAsia="nl-BE"/>
                    </w:rPr>
                  </w:pP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240" w:lineRule="auto"/>
                    <w:rPr>
                      <w:rFonts w:ascii="Times New Roman" w:eastAsia="Times New Roman" w:hAnsi="Times New Roman" w:cs="Times New Roman"/>
                      <w:sz w:val="20"/>
                      <w:szCs w:val="20"/>
                      <w:lang w:eastAsia="nl-BE"/>
                    </w:rPr>
                  </w:pP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240" w:lineRule="auto"/>
                    <w:rPr>
                      <w:rFonts w:ascii="Times New Roman" w:eastAsia="Times New Roman" w:hAnsi="Times New Roman" w:cs="Times New Roman"/>
                      <w:sz w:val="20"/>
                      <w:szCs w:val="20"/>
                      <w:lang w:eastAsia="nl-BE"/>
                    </w:rPr>
                  </w:pP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i/>
                      <w:iCs/>
                      <w:color w:val="374151"/>
                      <w:sz w:val="24"/>
                      <w:szCs w:val="24"/>
                      <w:lang w:eastAsia="nl-BE"/>
                    </w:rPr>
                    <w:t>per</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31 Dec. 2023</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b/>
                      <w:bCs/>
                      <w:color w:val="374151"/>
                      <w:sz w:val="24"/>
                      <w:szCs w:val="24"/>
                      <w:lang w:eastAsia="nl-BE"/>
                    </w:rPr>
                    <w:t>31 Dec. 2022</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Kaspositie per einde periode</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29.8</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61.8</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Rentedragende leningen</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(15.3)</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(12.7)</w:t>
                  </w:r>
                </w:p>
              </w:tc>
            </w:tr>
            <w:tr w:rsidR="008B5905" w:rsidRPr="008B5905" w:rsidTr="008B5905">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Eigen vermogen</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17.9</w:t>
                  </w:r>
                </w:p>
              </w:tc>
              <w:tc>
                <w:tcPr>
                  <w:tcW w:w="0" w:type="auto"/>
                  <w:tcBorders>
                    <w:top w:val="single" w:sz="6" w:space="0" w:color="EEEEEE"/>
                    <w:left w:val="single" w:sz="6" w:space="0" w:color="EEEEEE"/>
                    <w:bottom w:val="single" w:sz="6" w:space="0" w:color="EEEEEE"/>
                    <w:right w:val="single" w:sz="6" w:space="0" w:color="EEEEEE"/>
                  </w:tcBorders>
                  <w:tcMar>
                    <w:top w:w="90" w:type="dxa"/>
                    <w:left w:w="120" w:type="dxa"/>
                    <w:bottom w:w="90" w:type="dxa"/>
                    <w:right w:w="120" w:type="dxa"/>
                  </w:tcMar>
                  <w:vAlign w:val="center"/>
                  <w:hideMark/>
                </w:tcPr>
                <w:p w:rsidR="008B5905" w:rsidRPr="008B5905" w:rsidRDefault="008B5905" w:rsidP="008B5905">
                  <w:pPr>
                    <w:spacing w:after="0" w:line="360" w:lineRule="atLeast"/>
                    <w:textAlignment w:val="baseline"/>
                    <w:rPr>
                      <w:rFonts w:ascii="inherit" w:eastAsia="Times New Roman" w:hAnsi="inherit" w:cs="Times New Roman"/>
                      <w:color w:val="374151"/>
                      <w:sz w:val="24"/>
                      <w:szCs w:val="24"/>
                      <w:lang w:eastAsia="nl-BE"/>
                    </w:rPr>
                  </w:pPr>
                  <w:r w:rsidRPr="008B5905">
                    <w:rPr>
                      <w:rFonts w:ascii="inherit" w:eastAsia="Times New Roman" w:hAnsi="inherit" w:cs="Times New Roman"/>
                      <w:color w:val="374151"/>
                      <w:sz w:val="24"/>
                      <w:szCs w:val="24"/>
                      <w:lang w:eastAsia="nl-BE"/>
                    </w:rPr>
                    <w:t>52.6</w:t>
                  </w:r>
                </w:p>
              </w:tc>
            </w:tr>
          </w:tbl>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Totaal opbrengsten &amp; overige inkomsten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Overige inkomsten, voornamelijk subsidie-inkomsten, daalden naar EUR 0,5 miljoen (2022: EUR 2,1 miljoen), voornamelijk door een verandering in de verwerking van subsidie-inkomsten.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Totale bedrijfskosten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De totale bedrijfskosten stegen in 2023 met EUR 1,8 miljoen tot EUR 36,0 miljoen (2022: EUR 34,2 miljoen). Onderzoek &amp; Ontwikkeling (inclusief klinische) kosten waren stabiel op EUR 18,8M (2022: EUR 18,9M), voornamelijk inclusief kosten om alle componenten van het ARC-EX platform af te ronden voor FDA indiening. De marketinguitgaven stegen van EUR 2,0 miljoen in 2022 tot EUR 2,9 miljoen als gevolg van verhoogde markttoegangsactiviteiten ter voorbereiding van de lancering </w:t>
            </w:r>
            <w:r w:rsidRPr="008B5905">
              <w:rPr>
                <w:rFonts w:ascii="Arial" w:eastAsia="Times New Roman" w:hAnsi="Arial" w:cs="Arial"/>
                <w:color w:val="374151"/>
                <w:sz w:val="24"/>
                <w:szCs w:val="24"/>
                <w:lang w:eastAsia="nl-BE"/>
              </w:rPr>
              <w:lastRenderedPageBreak/>
              <w:t>van ARC-EX, waaronder prijsstudies en deelname aan congressen om de bekendheid van de therapieën van de Vennootschap binnen de SCI-gemeenschap te vergroten. De algemene en administratieve kosten stegen met 7% tot EUR 11,3M in 2023 (2022: EUR 10,6M), voornamelijk door de versterking van de algemene operationele capaciteiten ter voorbereiding van de lancering van het eerste commerciële product van de Vennootschap.</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Netto financieringslasten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De netto financiële lasten daalden van EUR 1,5 miljoen in 2022 naar EUR 0,6 miljoen in 2023 als gevolg van hogere financiële baten gerelateerd aan rente verdiend op ons positieve kassaldo in termijndeposito's. De financiële lasten zijn gerelateerd aan de rentelasten op de langlopende innovatielening van de Rijksdienst voor Ondernemend Nederland (RVO). De financiële lasten houden verband met de rentelasten op de langlopende innovatielening van de Vennootschap bij de Rijksdienst voor Ondernemend Nederland (RVO).</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Nettoverlies over de periode</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De Vennootschap realiseerde een nettoverlies over de periode van EUR 36,2 miljoen tegenover EUR 32,8 miljoen in 2022 als gevolg van lagere subsidie-inkomsten en hogere operationele kosten.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Netto kaspositie</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De Vennootschap eindigde het jaar 2023 met een netto kaspositie van EUR 29,8M (2022: EUR 61,8M). De kasuitstroom uit operationele activiteiten steeg van EUR 26,7 miljoen in 2022 naar EUR 32,3 miljoen in 2023 als gevolg van het hogere operationele verlies en wijzigingen in het werkkapitaal. De kasstroom uit financieringsactiviteiten was EUR 0,8M positief (2022: EUR 0,6M negatief) dankzij de opbrengsten van de RVO-lening.</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before="120" w:after="0" w:line="480" w:lineRule="atLeast"/>
              <w:textAlignment w:val="baseline"/>
              <w:outlineLvl w:val="1"/>
              <w:rPr>
                <w:rFonts w:ascii="Arial" w:eastAsia="Times New Roman" w:hAnsi="Arial" w:cs="Arial"/>
                <w:b/>
                <w:bCs/>
                <w:color w:val="374151"/>
                <w:sz w:val="36"/>
                <w:szCs w:val="36"/>
                <w:lang w:eastAsia="nl-BE"/>
              </w:rPr>
            </w:pPr>
            <w:r w:rsidRPr="008B5905">
              <w:rPr>
                <w:rFonts w:ascii="Arial" w:eastAsia="Times New Roman" w:hAnsi="Arial" w:cs="Arial"/>
                <w:b/>
                <w:bCs/>
                <w:color w:val="374151"/>
                <w:sz w:val="36"/>
                <w:szCs w:val="36"/>
                <w:lang w:eastAsia="nl-BE"/>
              </w:rPr>
              <w:t>Vooruitzichten 2024</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Innovatie, klinische en wettelijke ontwikkelingen: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lastRenderedPageBreak/>
              <w:t>- Op 2 april kondigde de Vennootschap aan dat het een De Novo aanvraag heeft ingediend voor FDA goedkeuring voor het ARC-EX Systeem, met een verwachte toelating om het platform in de VS te commercialiseren in de tweede helft van 2024. Het bedrijf streeft ernaar om in 2025 een CE-markering en Europese goedkeuring aan te vragen.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Op basis van positieve feedback van potentiële klanten over de waarde van het ARC-EX System, waarvan nu is aangetoond dat het de allereerste therapie is om de hand- en armfunctie na chronische SCI te herstellen, verwacht de Vennootschap een catalogusprijs van ongeveer USD 30.000. Daarnaast verwacht het bedrijf de inkomsten aan te vullen door gedifferentieerde servicepakketten aan te bieden.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Het bedrijf is van plan om FDA IDE goedkeuring aan te vragen en om zijn wereldwijde klinische studie voor het ARC-IM System, </w:t>
            </w:r>
            <w:proofErr w:type="spellStart"/>
            <w:r w:rsidRPr="008B5905">
              <w:rPr>
                <w:rFonts w:ascii="Arial" w:eastAsia="Times New Roman" w:hAnsi="Arial" w:cs="Arial"/>
                <w:color w:val="374151"/>
                <w:sz w:val="24"/>
                <w:szCs w:val="24"/>
                <w:lang w:eastAsia="nl-BE"/>
              </w:rPr>
              <w:t>Empower</w:t>
            </w:r>
            <w:proofErr w:type="spellEnd"/>
            <w:r w:rsidRPr="008B5905">
              <w:rPr>
                <w:rFonts w:ascii="Arial" w:eastAsia="Times New Roman" w:hAnsi="Arial" w:cs="Arial"/>
                <w:color w:val="374151"/>
                <w:sz w:val="24"/>
                <w:szCs w:val="24"/>
                <w:lang w:eastAsia="nl-BE"/>
              </w:rPr>
              <w:t xml:space="preserve"> BP genaamd, te starten in de tweede helft van 2024 om het bewijs te leveren dat nodig is om uiteindelijk een PMA (pre-market </w:t>
            </w:r>
            <w:proofErr w:type="spellStart"/>
            <w:r w:rsidRPr="008B5905">
              <w:rPr>
                <w:rFonts w:ascii="Arial" w:eastAsia="Times New Roman" w:hAnsi="Arial" w:cs="Arial"/>
                <w:color w:val="374151"/>
                <w:sz w:val="24"/>
                <w:szCs w:val="24"/>
                <w:lang w:eastAsia="nl-BE"/>
              </w:rPr>
              <w:t>approval</w:t>
            </w:r>
            <w:proofErr w:type="spellEnd"/>
            <w:r w:rsidRPr="008B5905">
              <w:rPr>
                <w:rFonts w:ascii="Arial" w:eastAsia="Times New Roman" w:hAnsi="Arial" w:cs="Arial"/>
                <w:color w:val="374151"/>
                <w:sz w:val="24"/>
                <w:szCs w:val="24"/>
                <w:lang w:eastAsia="nl-BE"/>
              </w:rPr>
              <w:t xml:space="preserve">) aanvraag in te dienen bij de Amerikaanse Food </w:t>
            </w:r>
            <w:proofErr w:type="spellStart"/>
            <w:r w:rsidRPr="008B5905">
              <w:rPr>
                <w:rFonts w:ascii="Arial" w:eastAsia="Times New Roman" w:hAnsi="Arial" w:cs="Arial"/>
                <w:color w:val="374151"/>
                <w:sz w:val="24"/>
                <w:szCs w:val="24"/>
                <w:lang w:eastAsia="nl-BE"/>
              </w:rPr>
              <w:t>and</w:t>
            </w:r>
            <w:proofErr w:type="spellEnd"/>
            <w:r w:rsidRPr="008B5905">
              <w:rPr>
                <w:rFonts w:ascii="Arial" w:eastAsia="Times New Roman" w:hAnsi="Arial" w:cs="Arial"/>
                <w:color w:val="374151"/>
                <w:sz w:val="24"/>
                <w:szCs w:val="24"/>
                <w:lang w:eastAsia="nl-BE"/>
              </w:rPr>
              <w:t xml:space="preserve"> Drug Administration (FDA) en andere wereldwijde regelgevende instanties.</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 Het bedrijf is van plan om aanvullende klinische gegevens en ervaring op te doen met zijn implanteerbare ARC-IM System in 2024, met verschillende implantaten gepland met steun van de Michael J. Fox Foundation </w:t>
            </w:r>
            <w:proofErr w:type="spellStart"/>
            <w:r w:rsidRPr="008B5905">
              <w:rPr>
                <w:rFonts w:ascii="Arial" w:eastAsia="Times New Roman" w:hAnsi="Arial" w:cs="Arial"/>
                <w:color w:val="374151"/>
                <w:sz w:val="24"/>
                <w:szCs w:val="24"/>
                <w:lang w:eastAsia="nl-BE"/>
              </w:rPr>
              <w:t>for</w:t>
            </w:r>
            <w:proofErr w:type="spellEnd"/>
            <w:r w:rsidRPr="008B5905">
              <w:rPr>
                <w:rFonts w:ascii="Arial" w:eastAsia="Times New Roman" w:hAnsi="Arial" w:cs="Arial"/>
                <w:color w:val="374151"/>
                <w:sz w:val="24"/>
                <w:szCs w:val="24"/>
                <w:lang w:eastAsia="nl-BE"/>
              </w:rPr>
              <w:t xml:space="preserve"> </w:t>
            </w:r>
            <w:proofErr w:type="spellStart"/>
            <w:r w:rsidRPr="008B5905">
              <w:rPr>
                <w:rFonts w:ascii="Arial" w:eastAsia="Times New Roman" w:hAnsi="Arial" w:cs="Arial"/>
                <w:color w:val="374151"/>
                <w:sz w:val="24"/>
                <w:szCs w:val="24"/>
                <w:lang w:eastAsia="nl-BE"/>
              </w:rPr>
              <w:t>Parkinson's</w:t>
            </w:r>
            <w:proofErr w:type="spellEnd"/>
            <w:r w:rsidRPr="008B5905">
              <w:rPr>
                <w:rFonts w:ascii="Arial" w:eastAsia="Times New Roman" w:hAnsi="Arial" w:cs="Arial"/>
                <w:color w:val="374151"/>
                <w:sz w:val="24"/>
                <w:szCs w:val="24"/>
                <w:lang w:eastAsia="nl-BE"/>
              </w:rPr>
              <w:t xml:space="preserve"> Research en verschillende ARC-IM System implantaten gepland in combinatie met een geïmplanteerde </w:t>
            </w:r>
            <w:proofErr w:type="spellStart"/>
            <w:r w:rsidRPr="008B5905">
              <w:rPr>
                <w:rFonts w:ascii="Arial" w:eastAsia="Times New Roman" w:hAnsi="Arial" w:cs="Arial"/>
                <w:color w:val="374151"/>
                <w:sz w:val="24"/>
                <w:szCs w:val="24"/>
                <w:lang w:eastAsia="nl-BE"/>
              </w:rPr>
              <w:t>brain</w:t>
            </w:r>
            <w:proofErr w:type="spellEnd"/>
            <w:r w:rsidRPr="008B5905">
              <w:rPr>
                <w:rFonts w:ascii="Arial" w:eastAsia="Times New Roman" w:hAnsi="Arial" w:cs="Arial"/>
                <w:color w:val="374151"/>
                <w:sz w:val="24"/>
                <w:szCs w:val="24"/>
                <w:lang w:eastAsia="nl-BE"/>
              </w:rPr>
              <w:t xml:space="preserve">-computer interface (BCI) met steun van de European </w:t>
            </w:r>
            <w:proofErr w:type="spellStart"/>
            <w:r w:rsidRPr="008B5905">
              <w:rPr>
                <w:rFonts w:ascii="Arial" w:eastAsia="Times New Roman" w:hAnsi="Arial" w:cs="Arial"/>
                <w:color w:val="374151"/>
                <w:sz w:val="24"/>
                <w:szCs w:val="24"/>
                <w:lang w:eastAsia="nl-BE"/>
              </w:rPr>
              <w:t>Innovation</w:t>
            </w:r>
            <w:proofErr w:type="spellEnd"/>
            <w:r w:rsidRPr="008B5905">
              <w:rPr>
                <w:rFonts w:ascii="Arial" w:eastAsia="Times New Roman" w:hAnsi="Arial" w:cs="Arial"/>
                <w:color w:val="374151"/>
                <w:sz w:val="24"/>
                <w:szCs w:val="24"/>
                <w:lang w:eastAsia="nl-BE"/>
              </w:rPr>
              <w:t xml:space="preserve"> Council. Het bedrijf noemt dit BCI-ondersteunde systeem ARC-BCI.</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b/>
                <w:bCs/>
                <w:color w:val="374151"/>
                <w:sz w:val="24"/>
                <w:szCs w:val="24"/>
                <w:lang w:eastAsia="nl-BE"/>
              </w:rPr>
              <w:t>Bedrijfsnieuws:</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Eind 2023 verwachtte het bedrijf dat de kaspositie de activiteiten tot eind 2024 zou voeden. In maart 2024 rondde het bedrijf een aandelenfinanciering van EUR 20 miljoen af die de kaspositie versterkte om investeringen in productontwikkeling, klinische tests, operationele en commerciële capaciteiten te ondersteunen en de kasstroom te verlengen tot medio 2025.</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Om meer te weten te komen over ONWARD </w:t>
            </w:r>
            <w:proofErr w:type="spellStart"/>
            <w:r w:rsidRPr="008B5905">
              <w:rPr>
                <w:rFonts w:ascii="Arial" w:eastAsia="Times New Roman" w:hAnsi="Arial" w:cs="Arial"/>
                <w:color w:val="374151"/>
                <w:sz w:val="24"/>
                <w:szCs w:val="24"/>
                <w:lang w:eastAsia="nl-BE"/>
              </w:rPr>
              <w:t>Medical's</w:t>
            </w:r>
            <w:proofErr w:type="spellEnd"/>
            <w:r w:rsidRPr="008B5905">
              <w:rPr>
                <w:rFonts w:ascii="Arial" w:eastAsia="Times New Roman" w:hAnsi="Arial" w:cs="Arial"/>
                <w:color w:val="374151"/>
                <w:sz w:val="24"/>
                <w:szCs w:val="24"/>
                <w:lang w:eastAsia="nl-BE"/>
              </w:rPr>
              <w:t xml:space="preserve"> engagement om samen te werken met de SCI gemeenschap om innovatieve oplossingen te ontwikkelen voor </w:t>
            </w:r>
            <w:r w:rsidRPr="008B5905">
              <w:rPr>
                <w:rFonts w:ascii="Arial" w:eastAsia="Times New Roman" w:hAnsi="Arial" w:cs="Arial"/>
                <w:color w:val="374151"/>
                <w:sz w:val="24"/>
                <w:szCs w:val="24"/>
                <w:lang w:eastAsia="nl-BE"/>
              </w:rPr>
              <w:lastRenderedPageBreak/>
              <w:t>het herstellen van beweging, functie en onafhankelijkheid na een dwarslaesie, kunt u ONWD.com bezoeken.</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xml:space="preserve">*Alle ONWARD </w:t>
            </w:r>
            <w:proofErr w:type="spellStart"/>
            <w:r w:rsidRPr="008B5905">
              <w:rPr>
                <w:rFonts w:ascii="Arial" w:eastAsia="Times New Roman" w:hAnsi="Arial" w:cs="Arial"/>
                <w:color w:val="374151"/>
                <w:sz w:val="24"/>
                <w:szCs w:val="24"/>
                <w:lang w:eastAsia="nl-BE"/>
              </w:rPr>
              <w:t>Medical</w:t>
            </w:r>
            <w:proofErr w:type="spellEnd"/>
            <w:r w:rsidRPr="008B5905">
              <w:rPr>
                <w:rFonts w:ascii="Arial" w:eastAsia="Times New Roman" w:hAnsi="Arial" w:cs="Arial"/>
                <w:color w:val="374151"/>
                <w:sz w:val="24"/>
                <w:szCs w:val="24"/>
                <w:lang w:eastAsia="nl-BE"/>
              </w:rPr>
              <w:t xml:space="preserve"> apparaten en therapieën, inclusief maar niet beperkt tot ARC-IM®, ARC-EX®, ARC-BCI™ en ARC </w:t>
            </w:r>
            <w:proofErr w:type="spellStart"/>
            <w:r w:rsidRPr="008B5905">
              <w:rPr>
                <w:rFonts w:ascii="Arial" w:eastAsia="Times New Roman" w:hAnsi="Arial" w:cs="Arial"/>
                <w:color w:val="374151"/>
                <w:sz w:val="24"/>
                <w:szCs w:val="24"/>
                <w:lang w:eastAsia="nl-BE"/>
              </w:rPr>
              <w:t>Therapy</w:t>
            </w:r>
            <w:proofErr w:type="spellEnd"/>
            <w:r w:rsidRPr="008B5905">
              <w:rPr>
                <w:rFonts w:ascii="Arial" w:eastAsia="Times New Roman" w:hAnsi="Arial" w:cs="Arial"/>
                <w:color w:val="374151"/>
                <w:sz w:val="24"/>
                <w:szCs w:val="24"/>
                <w:lang w:eastAsia="nl-BE"/>
              </w:rPr>
              <w:t>™, alleen of in combinatie met een brein-computer interface (BCI), zijn in onderzoek en niet beschikbaar voor commercieel gebruik.</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after="0" w:line="360" w:lineRule="atLeast"/>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1 Respondent gedefinieerd als een deelnemer die voldeed aan de criteria voor minimaal belangrijk verschil (MID) of deze overschreed voor ten minste één uitkomst van het krachtdomein en ten minste één uitkomst van het functionele prestatiedomein. Respondenten hadden een gemiddelde tijd sinds het letsel van 6 jaar, met een bereik van 1-34 jaar.</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p w:rsidR="008B5905" w:rsidRPr="008B5905" w:rsidRDefault="008B5905" w:rsidP="008B5905">
            <w:pPr>
              <w:spacing w:before="120" w:after="0" w:line="420" w:lineRule="atLeast"/>
              <w:textAlignment w:val="baseline"/>
              <w:outlineLvl w:val="2"/>
              <w:rPr>
                <w:rFonts w:ascii="Arial" w:eastAsia="Times New Roman" w:hAnsi="Arial" w:cs="Arial"/>
                <w:b/>
                <w:bCs/>
                <w:color w:val="374151"/>
                <w:sz w:val="30"/>
                <w:szCs w:val="30"/>
                <w:lang w:eastAsia="nl-BE"/>
              </w:rPr>
            </w:pPr>
            <w:r w:rsidRPr="008B5905">
              <w:rPr>
                <w:rFonts w:ascii="Arial" w:eastAsia="Times New Roman" w:hAnsi="Arial" w:cs="Arial"/>
                <w:b/>
                <w:bCs/>
                <w:color w:val="374151"/>
                <w:sz w:val="30"/>
                <w:szCs w:val="30"/>
                <w:lang w:eastAsia="nl-BE"/>
              </w:rPr>
              <w:t>Perscontact:</w:t>
            </w:r>
          </w:p>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tbl>
            <w:tblPr>
              <w:tblW w:w="8700" w:type="dxa"/>
              <w:tblCellMar>
                <w:left w:w="0" w:type="dxa"/>
                <w:right w:w="0" w:type="dxa"/>
              </w:tblCellMar>
              <w:tblLook w:val="04A0" w:firstRow="1" w:lastRow="0" w:firstColumn="1" w:lastColumn="0" w:noHBand="0" w:noVBand="1"/>
            </w:tblPr>
            <w:tblGrid>
              <w:gridCol w:w="8700"/>
            </w:tblGrid>
            <w:tr w:rsidR="008B5905" w:rsidRPr="008B5905" w:rsidTr="008B5905">
              <w:tc>
                <w:tcPr>
                  <w:tcW w:w="0" w:type="auto"/>
                  <w:tcMar>
                    <w:top w:w="345" w:type="dxa"/>
                    <w:left w:w="345" w:type="dxa"/>
                    <w:bottom w:w="345" w:type="dxa"/>
                    <w:right w:w="345" w:type="dxa"/>
                  </w:tcMar>
                  <w:vAlign w:val="center"/>
                  <w:hideMark/>
                </w:tcPr>
                <w:tbl>
                  <w:tblPr>
                    <w:tblW w:w="7980" w:type="dxa"/>
                    <w:tblCellMar>
                      <w:left w:w="0" w:type="dxa"/>
                      <w:right w:w="0" w:type="dxa"/>
                    </w:tblCellMar>
                    <w:tblLook w:val="04A0" w:firstRow="1" w:lastRow="0" w:firstColumn="1" w:lastColumn="0" w:noHBand="0" w:noVBand="1"/>
                  </w:tblPr>
                  <w:tblGrid>
                    <w:gridCol w:w="1590"/>
                    <w:gridCol w:w="360"/>
                    <w:gridCol w:w="6030"/>
                  </w:tblGrid>
                  <w:tr w:rsidR="008B5905" w:rsidRPr="008B5905">
                    <w:tc>
                      <w:tcPr>
                        <w:tcW w:w="1590" w:type="dxa"/>
                        <w:hideMark/>
                      </w:tcPr>
                      <w:p w:rsidR="008B5905" w:rsidRPr="008B5905" w:rsidRDefault="008B5905" w:rsidP="008B5905">
                        <w:pPr>
                          <w:spacing w:after="0" w:line="240" w:lineRule="auto"/>
                          <w:rPr>
                            <w:rFonts w:ascii="Times New Roman" w:eastAsia="Times New Roman" w:hAnsi="Times New Roman" w:cs="Times New Roman"/>
                            <w:sz w:val="24"/>
                            <w:szCs w:val="24"/>
                            <w:lang w:eastAsia="nl-BE"/>
                          </w:rPr>
                        </w:pPr>
                        <w:r w:rsidRPr="008B5905">
                          <w:rPr>
                            <w:rFonts w:ascii="inherit" w:eastAsia="Times New Roman" w:hAnsi="inherit" w:cs="Times New Roman"/>
                            <w:b/>
                            <w:bCs/>
                            <w:noProof/>
                            <w:color w:val="374151"/>
                            <w:sz w:val="24"/>
                            <w:szCs w:val="24"/>
                            <w:bdr w:val="none" w:sz="0" w:space="0" w:color="auto" w:frame="1"/>
                            <w:lang w:eastAsia="nl-BE"/>
                          </w:rPr>
                          <w:drawing>
                            <wp:inline distT="0" distB="0" distL="0" distR="0">
                              <wp:extent cx="1005840" cy="1005840"/>
                              <wp:effectExtent l="0" t="0" r="3810" b="3810"/>
                              <wp:docPr id="2" name="Afbeelding 2" descr="Gunther De Back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ther De Back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c>
                      <w:tcPr>
                        <w:tcW w:w="360" w:type="dxa"/>
                        <w:vAlign w:val="center"/>
                        <w:hideMark/>
                      </w:tcPr>
                      <w:p w:rsidR="008B5905" w:rsidRPr="008B5905" w:rsidRDefault="008B5905" w:rsidP="008B5905">
                        <w:pPr>
                          <w:spacing w:after="0" w:line="240" w:lineRule="auto"/>
                          <w:rPr>
                            <w:rFonts w:ascii="Times New Roman" w:eastAsia="Times New Roman" w:hAnsi="Times New Roman" w:cs="Times New Roman"/>
                            <w:sz w:val="24"/>
                            <w:szCs w:val="24"/>
                            <w:lang w:eastAsia="nl-BE"/>
                          </w:rPr>
                        </w:pPr>
                        <w:r w:rsidRPr="008B5905">
                          <w:rPr>
                            <w:rFonts w:ascii="Times New Roman" w:eastAsia="Times New Roman" w:hAnsi="Times New Roman" w:cs="Times New Roman"/>
                            <w:sz w:val="24"/>
                            <w:szCs w:val="24"/>
                            <w:lang w:eastAsia="nl-BE"/>
                          </w:rPr>
                          <w:t> </w:t>
                        </w:r>
                      </w:p>
                    </w:tc>
                    <w:tc>
                      <w:tcPr>
                        <w:tcW w:w="6030" w:type="dxa"/>
                        <w:hideMark/>
                      </w:tcPr>
                      <w:p w:rsidR="008B5905" w:rsidRPr="008B5905" w:rsidRDefault="008B5905" w:rsidP="008B5905">
                        <w:pPr>
                          <w:spacing w:after="0" w:line="420" w:lineRule="atLeast"/>
                          <w:textAlignment w:val="baseline"/>
                          <w:rPr>
                            <w:rFonts w:ascii="inherit" w:eastAsia="Times New Roman" w:hAnsi="inherit" w:cs="Times New Roman"/>
                            <w:sz w:val="27"/>
                            <w:szCs w:val="27"/>
                            <w:lang w:eastAsia="nl-BE"/>
                          </w:rPr>
                        </w:pPr>
                        <w:hyperlink r:id="rId10" w:tgtFrame="_blank" w:history="1">
                          <w:r w:rsidRPr="008B5905">
                            <w:rPr>
                              <w:rFonts w:ascii="inherit" w:eastAsia="Times New Roman" w:hAnsi="inherit" w:cs="Times New Roman"/>
                              <w:b/>
                              <w:bCs/>
                              <w:color w:val="374151"/>
                              <w:sz w:val="27"/>
                              <w:szCs w:val="27"/>
                              <w:bdr w:val="none" w:sz="0" w:space="0" w:color="auto" w:frame="1"/>
                              <w:lang w:eastAsia="nl-BE"/>
                            </w:rPr>
                            <w:t>Gunther De Backer</w:t>
                          </w:r>
                        </w:hyperlink>
                      </w:p>
                      <w:p w:rsidR="008B5905" w:rsidRPr="008B5905" w:rsidRDefault="008B5905" w:rsidP="008B5905">
                        <w:pPr>
                          <w:spacing w:after="0" w:line="300" w:lineRule="atLeast"/>
                          <w:textAlignment w:val="baseline"/>
                          <w:rPr>
                            <w:rFonts w:ascii="inherit" w:eastAsia="Times New Roman" w:hAnsi="inherit" w:cs="Times New Roman"/>
                            <w:sz w:val="21"/>
                            <w:szCs w:val="21"/>
                            <w:lang w:eastAsia="nl-BE"/>
                          </w:rPr>
                        </w:pPr>
                        <w:r w:rsidRPr="008B5905">
                          <w:rPr>
                            <w:rFonts w:ascii="inherit" w:eastAsia="Times New Roman" w:hAnsi="inherit" w:cs="Times New Roman"/>
                            <w:color w:val="374151"/>
                            <w:sz w:val="21"/>
                            <w:szCs w:val="21"/>
                            <w:lang w:eastAsia="nl-BE"/>
                          </w:rPr>
                          <w:t>Partner, Backstage Communication</w:t>
                        </w:r>
                      </w:p>
                      <w:p w:rsidR="008B5905" w:rsidRPr="008B5905" w:rsidRDefault="008B5905" w:rsidP="008B5905">
                        <w:pPr>
                          <w:spacing w:after="0" w:line="60" w:lineRule="atLeast"/>
                          <w:textAlignment w:val="baseline"/>
                          <w:rPr>
                            <w:rFonts w:ascii="inherit" w:eastAsia="Times New Roman" w:hAnsi="inherit" w:cs="Times New Roman"/>
                            <w:sz w:val="6"/>
                            <w:szCs w:val="6"/>
                            <w:lang w:eastAsia="nl-BE"/>
                          </w:rPr>
                        </w:pPr>
                        <w:r w:rsidRPr="008B5905">
                          <w:rPr>
                            <w:rFonts w:ascii="inherit" w:eastAsia="Times New Roman" w:hAnsi="inherit" w:cs="Times New Roman"/>
                            <w:sz w:val="6"/>
                            <w:szCs w:val="6"/>
                            <w:lang w:eastAsia="nl-BE"/>
                          </w:rPr>
                          <w:t> </w:t>
                        </w:r>
                      </w:p>
                      <w:tbl>
                        <w:tblPr>
                          <w:tblW w:w="6030" w:type="dxa"/>
                          <w:tblCellMar>
                            <w:left w:w="0" w:type="dxa"/>
                            <w:right w:w="0" w:type="dxa"/>
                          </w:tblCellMar>
                          <w:tblLook w:val="04A0" w:firstRow="1" w:lastRow="0" w:firstColumn="1" w:lastColumn="0" w:noHBand="0" w:noVBand="1"/>
                        </w:tblPr>
                        <w:tblGrid>
                          <w:gridCol w:w="3015"/>
                          <w:gridCol w:w="3015"/>
                        </w:tblGrid>
                        <w:tr w:rsidR="008B5905" w:rsidRPr="008B5905">
                          <w:tc>
                            <w:tcPr>
                              <w:tcW w:w="2400" w:type="pct"/>
                              <w:hideMark/>
                            </w:tcPr>
                            <w:tbl>
                              <w:tblPr>
                                <w:tblW w:w="0" w:type="auto"/>
                                <w:tblCellMar>
                                  <w:left w:w="0" w:type="dxa"/>
                                  <w:right w:w="0" w:type="dxa"/>
                                </w:tblCellMar>
                                <w:tblLook w:val="04A0" w:firstRow="1" w:lastRow="0" w:firstColumn="1" w:lastColumn="0" w:noHBand="0" w:noVBand="1"/>
                              </w:tblPr>
                              <w:tblGrid>
                                <w:gridCol w:w="2997"/>
                              </w:tblGrid>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1" w:tgtFrame="_blank" w:history="1">
                                      <w:r w:rsidRPr="008B5905">
                                        <w:rPr>
                                          <w:rFonts w:ascii="inherit" w:eastAsia="Times New Roman" w:hAnsi="inherit" w:cs="Times New Roman"/>
                                          <w:color w:val="374151"/>
                                          <w:sz w:val="20"/>
                                          <w:szCs w:val="20"/>
                                          <w:bdr w:val="none" w:sz="0" w:space="0" w:color="auto" w:frame="1"/>
                                          <w:lang w:eastAsia="nl-BE"/>
                                        </w:rPr>
                                        <w:t>E-mail: </w:t>
                                      </w:r>
                                      <w:r w:rsidRPr="008B5905">
                                        <w:rPr>
                                          <w:rFonts w:ascii="inherit" w:eastAsia="Times New Roman" w:hAnsi="inherit" w:cs="Times New Roman"/>
                                          <w:color w:val="374151"/>
                                          <w:sz w:val="20"/>
                                          <w:szCs w:val="20"/>
                                          <w:u w:val="single"/>
                                          <w:bdr w:val="none" w:sz="0" w:space="0" w:color="auto" w:frame="1"/>
                                          <w:lang w:eastAsia="nl-BE"/>
                                        </w:rPr>
                                        <w:t>gunther@backstagecom.be</w:t>
                                      </w:r>
                                    </w:hyperlink>
                                  </w:p>
                                </w:tc>
                              </w:tr>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2" w:tgtFrame="_blank" w:history="1">
                                      <w:r w:rsidRPr="008B5905">
                                        <w:rPr>
                                          <w:rFonts w:ascii="inherit" w:eastAsia="Times New Roman" w:hAnsi="inherit" w:cs="Times New Roman"/>
                                          <w:color w:val="374151"/>
                                          <w:sz w:val="20"/>
                                          <w:szCs w:val="20"/>
                                          <w:bdr w:val="none" w:sz="0" w:space="0" w:color="auto" w:frame="1"/>
                                          <w:lang w:eastAsia="nl-BE"/>
                                        </w:rPr>
                                        <w:t>Mobiel: </w:t>
                                      </w:r>
                                      <w:r w:rsidRPr="008B5905">
                                        <w:rPr>
                                          <w:rFonts w:ascii="inherit" w:eastAsia="Times New Roman" w:hAnsi="inherit" w:cs="Times New Roman"/>
                                          <w:color w:val="374151"/>
                                          <w:sz w:val="20"/>
                                          <w:szCs w:val="20"/>
                                          <w:u w:val="single"/>
                                          <w:bdr w:val="none" w:sz="0" w:space="0" w:color="auto" w:frame="1"/>
                                          <w:lang w:eastAsia="nl-BE"/>
                                        </w:rPr>
                                        <w:t>+32475903909</w:t>
                                      </w:r>
                                    </w:hyperlink>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c>
                            <w:tcPr>
                              <w:tcW w:w="2400" w:type="pct"/>
                              <w:hideMark/>
                            </w:tcPr>
                            <w:tbl>
                              <w:tblPr>
                                <w:tblW w:w="0" w:type="auto"/>
                                <w:tblCellMar>
                                  <w:left w:w="0" w:type="dxa"/>
                                  <w:right w:w="0" w:type="dxa"/>
                                </w:tblCellMar>
                                <w:tblLook w:val="04A0" w:firstRow="1" w:lastRow="0" w:firstColumn="1" w:lastColumn="0" w:noHBand="0" w:noVBand="1"/>
                              </w:tblPr>
                              <w:tblGrid>
                                <w:gridCol w:w="3015"/>
                              </w:tblGrid>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3" w:tgtFrame="_blank" w:history="1">
                                      <w:r w:rsidRPr="008B5905">
                                        <w:rPr>
                                          <w:rFonts w:ascii="inherit" w:eastAsia="Times New Roman" w:hAnsi="inherit" w:cs="Times New Roman"/>
                                          <w:color w:val="374151"/>
                                          <w:sz w:val="20"/>
                                          <w:szCs w:val="20"/>
                                          <w:bdr w:val="none" w:sz="0" w:space="0" w:color="auto" w:frame="1"/>
                                          <w:lang w:eastAsia="nl-BE"/>
                                        </w:rPr>
                                        <w:t>Facebook: </w:t>
                                      </w:r>
                                      <w:proofErr w:type="spellStart"/>
                                      <w:r w:rsidRPr="008B5905">
                                        <w:rPr>
                                          <w:rFonts w:ascii="inherit" w:eastAsia="Times New Roman" w:hAnsi="inherit" w:cs="Times New Roman"/>
                                          <w:color w:val="374151"/>
                                          <w:sz w:val="20"/>
                                          <w:szCs w:val="20"/>
                                          <w:u w:val="single"/>
                                          <w:bdr w:val="none" w:sz="0" w:space="0" w:color="auto" w:frame="1"/>
                                          <w:lang w:eastAsia="nl-BE"/>
                                        </w:rPr>
                                        <w:t>BackstageCommunicationSPRL</w:t>
                                      </w:r>
                                      <w:proofErr w:type="spellEnd"/>
                                    </w:hyperlink>
                                  </w:p>
                                </w:tc>
                              </w:tr>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4" w:tgtFrame="_blank" w:history="1">
                                      <w:r w:rsidRPr="008B5905">
                                        <w:rPr>
                                          <w:rFonts w:ascii="inherit" w:eastAsia="Times New Roman" w:hAnsi="inherit" w:cs="Times New Roman"/>
                                          <w:color w:val="374151"/>
                                          <w:sz w:val="20"/>
                                          <w:szCs w:val="20"/>
                                          <w:bdr w:val="none" w:sz="0" w:space="0" w:color="auto" w:frame="1"/>
                                          <w:lang w:eastAsia="nl-BE"/>
                                        </w:rPr>
                                        <w:t>Website: </w:t>
                                      </w:r>
                                      <w:r w:rsidRPr="008B5905">
                                        <w:rPr>
                                          <w:rFonts w:ascii="inherit" w:eastAsia="Times New Roman" w:hAnsi="inherit" w:cs="Times New Roman"/>
                                          <w:color w:val="374151"/>
                                          <w:sz w:val="20"/>
                                          <w:szCs w:val="20"/>
                                          <w:u w:val="single"/>
                                          <w:bdr w:val="none" w:sz="0" w:space="0" w:color="auto" w:frame="1"/>
                                          <w:lang w:eastAsia="nl-BE"/>
                                        </w:rPr>
                                        <w:t>backstagecom.be</w:t>
                                      </w:r>
                                    </w:hyperlink>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textAlignment w:val="baseline"/>
              <w:rPr>
                <w:rFonts w:ascii="Arial" w:eastAsia="Times New Roman" w:hAnsi="Arial" w:cs="Arial"/>
                <w:color w:val="374151"/>
                <w:sz w:val="24"/>
                <w:szCs w:val="24"/>
                <w:lang w:eastAsia="nl-BE"/>
              </w:rPr>
            </w:pPr>
            <w:r w:rsidRPr="008B5905">
              <w:rPr>
                <w:rFonts w:ascii="Arial" w:eastAsia="Times New Roman" w:hAnsi="Arial" w:cs="Arial"/>
                <w:color w:val="374151"/>
                <w:sz w:val="24"/>
                <w:szCs w:val="24"/>
                <w:lang w:eastAsia="nl-BE"/>
              </w:rPr>
              <w:t> </w:t>
            </w:r>
          </w:p>
          <w:tbl>
            <w:tblPr>
              <w:tblW w:w="8700" w:type="dxa"/>
              <w:tblCellMar>
                <w:left w:w="0" w:type="dxa"/>
                <w:right w:w="0" w:type="dxa"/>
              </w:tblCellMar>
              <w:tblLook w:val="04A0" w:firstRow="1" w:lastRow="0" w:firstColumn="1" w:lastColumn="0" w:noHBand="0" w:noVBand="1"/>
            </w:tblPr>
            <w:tblGrid>
              <w:gridCol w:w="8700"/>
            </w:tblGrid>
            <w:tr w:rsidR="008B5905" w:rsidRPr="008B5905" w:rsidTr="008B5905">
              <w:tc>
                <w:tcPr>
                  <w:tcW w:w="0" w:type="auto"/>
                  <w:tcMar>
                    <w:top w:w="345" w:type="dxa"/>
                    <w:left w:w="345" w:type="dxa"/>
                    <w:bottom w:w="345" w:type="dxa"/>
                    <w:right w:w="345" w:type="dxa"/>
                  </w:tcMar>
                  <w:vAlign w:val="center"/>
                  <w:hideMark/>
                </w:tcPr>
                <w:tbl>
                  <w:tblPr>
                    <w:tblW w:w="7980" w:type="dxa"/>
                    <w:tblCellMar>
                      <w:left w:w="0" w:type="dxa"/>
                      <w:right w:w="0" w:type="dxa"/>
                    </w:tblCellMar>
                    <w:tblLook w:val="04A0" w:firstRow="1" w:lastRow="0" w:firstColumn="1" w:lastColumn="0" w:noHBand="0" w:noVBand="1"/>
                  </w:tblPr>
                  <w:tblGrid>
                    <w:gridCol w:w="1590"/>
                    <w:gridCol w:w="360"/>
                    <w:gridCol w:w="6030"/>
                  </w:tblGrid>
                  <w:tr w:rsidR="008B5905" w:rsidRPr="008B5905">
                    <w:tc>
                      <w:tcPr>
                        <w:tcW w:w="1590" w:type="dxa"/>
                        <w:hideMark/>
                      </w:tcPr>
                      <w:p w:rsidR="008B5905" w:rsidRPr="008B5905" w:rsidRDefault="008B5905" w:rsidP="008B5905">
                        <w:pPr>
                          <w:spacing w:after="0" w:line="240" w:lineRule="auto"/>
                          <w:rPr>
                            <w:rFonts w:ascii="Times New Roman" w:eastAsia="Times New Roman" w:hAnsi="Times New Roman" w:cs="Times New Roman"/>
                            <w:sz w:val="24"/>
                            <w:szCs w:val="24"/>
                            <w:lang w:eastAsia="nl-BE"/>
                          </w:rPr>
                        </w:pPr>
                        <w:r w:rsidRPr="008B5905">
                          <w:rPr>
                            <w:rFonts w:ascii="inherit" w:eastAsia="Times New Roman" w:hAnsi="inherit" w:cs="Times New Roman"/>
                            <w:b/>
                            <w:bCs/>
                            <w:noProof/>
                            <w:color w:val="374151"/>
                            <w:sz w:val="24"/>
                            <w:szCs w:val="24"/>
                            <w:bdr w:val="none" w:sz="0" w:space="0" w:color="auto" w:frame="1"/>
                            <w:lang w:eastAsia="nl-BE"/>
                          </w:rPr>
                          <w:drawing>
                            <wp:inline distT="0" distB="0" distL="0" distR="0">
                              <wp:extent cx="1005840" cy="1005840"/>
                              <wp:effectExtent l="0" t="0" r="3810" b="3810"/>
                              <wp:docPr id="1" name="Afbeelding 1" descr="Jurgen Vluijman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gen Vluijmans">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c>
                      <w:tcPr>
                        <w:tcW w:w="360" w:type="dxa"/>
                        <w:vAlign w:val="center"/>
                        <w:hideMark/>
                      </w:tcPr>
                      <w:p w:rsidR="008B5905" w:rsidRPr="008B5905" w:rsidRDefault="008B5905" w:rsidP="008B5905">
                        <w:pPr>
                          <w:spacing w:after="0" w:line="240" w:lineRule="auto"/>
                          <w:rPr>
                            <w:rFonts w:ascii="Times New Roman" w:eastAsia="Times New Roman" w:hAnsi="Times New Roman" w:cs="Times New Roman"/>
                            <w:sz w:val="24"/>
                            <w:szCs w:val="24"/>
                            <w:lang w:eastAsia="nl-BE"/>
                          </w:rPr>
                        </w:pPr>
                        <w:r w:rsidRPr="008B5905">
                          <w:rPr>
                            <w:rFonts w:ascii="Times New Roman" w:eastAsia="Times New Roman" w:hAnsi="Times New Roman" w:cs="Times New Roman"/>
                            <w:sz w:val="24"/>
                            <w:szCs w:val="24"/>
                            <w:lang w:eastAsia="nl-BE"/>
                          </w:rPr>
                          <w:t> </w:t>
                        </w:r>
                      </w:p>
                    </w:tc>
                    <w:tc>
                      <w:tcPr>
                        <w:tcW w:w="6030" w:type="dxa"/>
                        <w:hideMark/>
                      </w:tcPr>
                      <w:p w:rsidR="008B5905" w:rsidRPr="008B5905" w:rsidRDefault="008B5905" w:rsidP="008B5905">
                        <w:pPr>
                          <w:spacing w:after="0" w:line="420" w:lineRule="atLeast"/>
                          <w:textAlignment w:val="baseline"/>
                          <w:rPr>
                            <w:rFonts w:ascii="inherit" w:eastAsia="Times New Roman" w:hAnsi="inherit" w:cs="Times New Roman"/>
                            <w:sz w:val="27"/>
                            <w:szCs w:val="27"/>
                            <w:lang w:eastAsia="nl-BE"/>
                          </w:rPr>
                        </w:pPr>
                        <w:hyperlink r:id="rId17" w:tgtFrame="_blank" w:history="1">
                          <w:r w:rsidRPr="008B5905">
                            <w:rPr>
                              <w:rFonts w:ascii="inherit" w:eastAsia="Times New Roman" w:hAnsi="inherit" w:cs="Times New Roman"/>
                              <w:b/>
                              <w:bCs/>
                              <w:color w:val="374151"/>
                              <w:sz w:val="27"/>
                              <w:szCs w:val="27"/>
                              <w:bdr w:val="none" w:sz="0" w:space="0" w:color="auto" w:frame="1"/>
                              <w:lang w:eastAsia="nl-BE"/>
                            </w:rPr>
                            <w:t xml:space="preserve">Jurgen </w:t>
                          </w:r>
                          <w:proofErr w:type="spellStart"/>
                          <w:r w:rsidRPr="008B5905">
                            <w:rPr>
                              <w:rFonts w:ascii="inherit" w:eastAsia="Times New Roman" w:hAnsi="inherit" w:cs="Times New Roman"/>
                              <w:b/>
                              <w:bCs/>
                              <w:color w:val="374151"/>
                              <w:sz w:val="27"/>
                              <w:szCs w:val="27"/>
                              <w:bdr w:val="none" w:sz="0" w:space="0" w:color="auto" w:frame="1"/>
                              <w:lang w:eastAsia="nl-BE"/>
                            </w:rPr>
                            <w:t>Vluijmans</w:t>
                          </w:r>
                          <w:proofErr w:type="spellEnd"/>
                        </w:hyperlink>
                      </w:p>
                      <w:p w:rsidR="008B5905" w:rsidRPr="008B5905" w:rsidRDefault="008B5905" w:rsidP="008B5905">
                        <w:pPr>
                          <w:spacing w:after="0" w:line="300" w:lineRule="atLeast"/>
                          <w:textAlignment w:val="baseline"/>
                          <w:rPr>
                            <w:rFonts w:ascii="inherit" w:eastAsia="Times New Roman" w:hAnsi="inherit" w:cs="Times New Roman"/>
                            <w:sz w:val="21"/>
                            <w:szCs w:val="21"/>
                            <w:lang w:eastAsia="nl-BE"/>
                          </w:rPr>
                        </w:pPr>
                        <w:r w:rsidRPr="008B5905">
                          <w:rPr>
                            <w:rFonts w:ascii="inherit" w:eastAsia="Times New Roman" w:hAnsi="inherit" w:cs="Times New Roman"/>
                            <w:color w:val="374151"/>
                            <w:sz w:val="21"/>
                            <w:szCs w:val="21"/>
                            <w:lang w:eastAsia="nl-BE"/>
                          </w:rPr>
                          <w:t>Partner &amp; Senior PR Consultant, Backstage Communication</w:t>
                        </w:r>
                      </w:p>
                      <w:p w:rsidR="008B5905" w:rsidRPr="008B5905" w:rsidRDefault="008B5905" w:rsidP="008B5905">
                        <w:pPr>
                          <w:spacing w:after="0" w:line="60" w:lineRule="atLeast"/>
                          <w:textAlignment w:val="baseline"/>
                          <w:rPr>
                            <w:rFonts w:ascii="inherit" w:eastAsia="Times New Roman" w:hAnsi="inherit" w:cs="Times New Roman"/>
                            <w:sz w:val="6"/>
                            <w:szCs w:val="6"/>
                            <w:lang w:eastAsia="nl-BE"/>
                          </w:rPr>
                        </w:pPr>
                        <w:r w:rsidRPr="008B5905">
                          <w:rPr>
                            <w:rFonts w:ascii="inherit" w:eastAsia="Times New Roman" w:hAnsi="inherit" w:cs="Times New Roman"/>
                            <w:sz w:val="6"/>
                            <w:szCs w:val="6"/>
                            <w:lang w:eastAsia="nl-BE"/>
                          </w:rPr>
                          <w:t> </w:t>
                        </w:r>
                      </w:p>
                      <w:tbl>
                        <w:tblPr>
                          <w:tblW w:w="6030" w:type="dxa"/>
                          <w:tblCellMar>
                            <w:left w:w="0" w:type="dxa"/>
                            <w:right w:w="0" w:type="dxa"/>
                          </w:tblCellMar>
                          <w:tblLook w:val="04A0" w:firstRow="1" w:lastRow="0" w:firstColumn="1" w:lastColumn="0" w:noHBand="0" w:noVBand="1"/>
                        </w:tblPr>
                        <w:tblGrid>
                          <w:gridCol w:w="3015"/>
                          <w:gridCol w:w="3015"/>
                        </w:tblGrid>
                        <w:tr w:rsidR="008B5905" w:rsidRPr="008B5905">
                          <w:tc>
                            <w:tcPr>
                              <w:tcW w:w="2400" w:type="pct"/>
                              <w:hideMark/>
                            </w:tcPr>
                            <w:tbl>
                              <w:tblPr>
                                <w:tblW w:w="0" w:type="auto"/>
                                <w:tblCellMar>
                                  <w:left w:w="0" w:type="dxa"/>
                                  <w:right w:w="0" w:type="dxa"/>
                                </w:tblCellMar>
                                <w:tblLook w:val="04A0" w:firstRow="1" w:lastRow="0" w:firstColumn="1" w:lastColumn="0" w:noHBand="0" w:noVBand="1"/>
                              </w:tblPr>
                              <w:tblGrid>
                                <w:gridCol w:w="2897"/>
                              </w:tblGrid>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8" w:tgtFrame="_blank" w:history="1">
                                      <w:r w:rsidRPr="008B5905">
                                        <w:rPr>
                                          <w:rFonts w:ascii="inherit" w:eastAsia="Times New Roman" w:hAnsi="inherit" w:cs="Times New Roman"/>
                                          <w:color w:val="374151"/>
                                          <w:sz w:val="20"/>
                                          <w:szCs w:val="20"/>
                                          <w:bdr w:val="none" w:sz="0" w:space="0" w:color="auto" w:frame="1"/>
                                          <w:lang w:eastAsia="nl-BE"/>
                                        </w:rPr>
                                        <w:t>E-mail: </w:t>
                                      </w:r>
                                      <w:r w:rsidRPr="008B5905">
                                        <w:rPr>
                                          <w:rFonts w:ascii="inherit" w:eastAsia="Times New Roman" w:hAnsi="inherit" w:cs="Times New Roman"/>
                                          <w:color w:val="374151"/>
                                          <w:sz w:val="20"/>
                                          <w:szCs w:val="20"/>
                                          <w:u w:val="single"/>
                                          <w:bdr w:val="none" w:sz="0" w:space="0" w:color="auto" w:frame="1"/>
                                          <w:lang w:eastAsia="nl-BE"/>
                                        </w:rPr>
                                        <w:t>jurgen@backstagecom.be</w:t>
                                      </w:r>
                                    </w:hyperlink>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c>
                            <w:tcPr>
                              <w:tcW w:w="2400" w:type="pct"/>
                              <w:hideMark/>
                            </w:tcPr>
                            <w:tbl>
                              <w:tblPr>
                                <w:tblW w:w="0" w:type="auto"/>
                                <w:tblCellMar>
                                  <w:left w:w="0" w:type="dxa"/>
                                  <w:right w:w="0" w:type="dxa"/>
                                </w:tblCellMar>
                                <w:tblLook w:val="04A0" w:firstRow="1" w:lastRow="0" w:firstColumn="1" w:lastColumn="0" w:noHBand="0" w:noVBand="1"/>
                              </w:tblPr>
                              <w:tblGrid>
                                <w:gridCol w:w="2077"/>
                              </w:tblGrid>
                              <w:tr w:rsidR="008B5905" w:rsidRPr="008B5905">
                                <w:tc>
                                  <w:tcPr>
                                    <w:tcW w:w="0" w:type="auto"/>
                                    <w:tcMar>
                                      <w:top w:w="180" w:type="dxa"/>
                                      <w:left w:w="0" w:type="dxa"/>
                                      <w:bottom w:w="0" w:type="dxa"/>
                                      <w:right w:w="180" w:type="dxa"/>
                                    </w:tcMar>
                                    <w:hideMark/>
                                  </w:tcPr>
                                  <w:p w:rsidR="008B5905" w:rsidRPr="008B5905" w:rsidRDefault="008B5905" w:rsidP="008B5905">
                                    <w:pPr>
                                      <w:wordWrap w:val="0"/>
                                      <w:spacing w:after="0" w:line="255" w:lineRule="atLeast"/>
                                      <w:textAlignment w:val="baseline"/>
                                      <w:rPr>
                                        <w:rFonts w:ascii="inherit" w:eastAsia="Times New Roman" w:hAnsi="inherit" w:cs="Times New Roman"/>
                                        <w:sz w:val="20"/>
                                        <w:szCs w:val="20"/>
                                        <w:lang w:eastAsia="nl-BE"/>
                                      </w:rPr>
                                    </w:pPr>
                                    <w:hyperlink r:id="rId19" w:tgtFrame="_blank" w:history="1">
                                      <w:r w:rsidRPr="008B5905">
                                        <w:rPr>
                                          <w:rFonts w:ascii="inherit" w:eastAsia="Times New Roman" w:hAnsi="inherit" w:cs="Times New Roman"/>
                                          <w:color w:val="374151"/>
                                          <w:sz w:val="20"/>
                                          <w:szCs w:val="20"/>
                                          <w:bdr w:val="none" w:sz="0" w:space="0" w:color="auto" w:frame="1"/>
                                          <w:lang w:eastAsia="nl-BE"/>
                                        </w:rPr>
                                        <w:t>Mobiel: </w:t>
                                      </w:r>
                                      <w:r w:rsidRPr="008B5905">
                                        <w:rPr>
                                          <w:rFonts w:ascii="inherit" w:eastAsia="Times New Roman" w:hAnsi="inherit" w:cs="Times New Roman"/>
                                          <w:color w:val="374151"/>
                                          <w:sz w:val="20"/>
                                          <w:szCs w:val="20"/>
                                          <w:u w:val="single"/>
                                          <w:bdr w:val="none" w:sz="0" w:space="0" w:color="auto" w:frame="1"/>
                                          <w:lang w:eastAsia="nl-BE"/>
                                        </w:rPr>
                                        <w:t>+32476283641</w:t>
                                      </w:r>
                                    </w:hyperlink>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pacing w:after="0" w:line="240" w:lineRule="auto"/>
                    <w:rPr>
                      <w:rFonts w:ascii="Times New Roman" w:eastAsia="Times New Roman" w:hAnsi="Times New Roman" w:cs="Times New Roman"/>
                      <w:sz w:val="24"/>
                      <w:szCs w:val="24"/>
                      <w:lang w:eastAsia="nl-BE"/>
                    </w:rPr>
                  </w:pPr>
                </w:p>
              </w:tc>
            </w:tr>
          </w:tbl>
          <w:p w:rsidR="008B5905" w:rsidRPr="008B5905" w:rsidRDefault="008B5905" w:rsidP="008B5905">
            <w:pPr>
              <w:shd w:val="clear" w:color="auto" w:fill="F9F9FA"/>
              <w:spacing w:after="0" w:line="255" w:lineRule="atLeast"/>
              <w:textAlignment w:val="baseline"/>
              <w:rPr>
                <w:rFonts w:ascii="inherit" w:eastAsia="Times New Roman" w:hAnsi="inherit" w:cs="Arial"/>
                <w:color w:val="374151"/>
                <w:sz w:val="24"/>
                <w:szCs w:val="24"/>
                <w:lang w:eastAsia="nl-BE"/>
              </w:rPr>
            </w:pPr>
          </w:p>
        </w:tc>
      </w:tr>
    </w:tbl>
    <w:p w:rsidR="00575013" w:rsidRDefault="00575013">
      <w:bookmarkStart w:id="0" w:name="_GoBack"/>
      <w:bookmarkEnd w:id="0"/>
    </w:p>
    <w:sectPr w:rsidR="00575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827A8F"/>
    <w:multiLevelType w:val="multilevel"/>
    <w:tmpl w:val="0AAE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05"/>
    <w:rsid w:val="00575013"/>
    <w:rsid w:val="008B59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40145-263A-4A92-B322-9AAFEDDD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8B5905"/>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8B5905"/>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B5905"/>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8B5905"/>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8B5905"/>
    <w:rPr>
      <w:color w:val="0000FF"/>
      <w:u w:val="single"/>
    </w:rPr>
  </w:style>
  <w:style w:type="character" w:styleId="Zwaar">
    <w:name w:val="Strong"/>
    <w:basedOn w:val="Standaardalinea-lettertype"/>
    <w:uiPriority w:val="22"/>
    <w:qFormat/>
    <w:rsid w:val="008B5905"/>
    <w:rPr>
      <w:b/>
      <w:bCs/>
    </w:rPr>
  </w:style>
  <w:style w:type="character" w:styleId="Nadruk">
    <w:name w:val="Emphasis"/>
    <w:basedOn w:val="Standaardalinea-lettertype"/>
    <w:uiPriority w:val="20"/>
    <w:qFormat/>
    <w:rsid w:val="008B5905"/>
    <w:rPr>
      <w:i/>
      <w:iCs/>
    </w:rPr>
  </w:style>
  <w:style w:type="paragraph" w:customStyle="1" w:styleId="xspacer">
    <w:name w:val="x_spacer"/>
    <w:basedOn w:val="Standaard"/>
    <w:rsid w:val="008B590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8B590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xopacity-60">
    <w:name w:val="x_opacity-60"/>
    <w:basedOn w:val="Standaardalinea-lettertype"/>
    <w:rsid w:val="008B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524354">
      <w:bodyDiv w:val="1"/>
      <w:marLeft w:val="0"/>
      <w:marRight w:val="0"/>
      <w:marTop w:val="0"/>
      <w:marBottom w:val="0"/>
      <w:divBdr>
        <w:top w:val="none" w:sz="0" w:space="0" w:color="auto"/>
        <w:left w:val="none" w:sz="0" w:space="0" w:color="auto"/>
        <w:bottom w:val="none" w:sz="0" w:space="0" w:color="auto"/>
        <w:right w:val="none" w:sz="0" w:space="0" w:color="auto"/>
      </w:divBdr>
      <w:divsChild>
        <w:div w:id="1392312913">
          <w:marLeft w:val="0"/>
          <w:marRight w:val="0"/>
          <w:marTop w:val="0"/>
          <w:marBottom w:val="0"/>
          <w:divBdr>
            <w:top w:val="none" w:sz="0" w:space="0" w:color="auto"/>
            <w:left w:val="none" w:sz="0" w:space="0" w:color="auto"/>
            <w:bottom w:val="none" w:sz="0" w:space="0" w:color="auto"/>
            <w:right w:val="none" w:sz="0" w:space="0" w:color="auto"/>
          </w:divBdr>
        </w:div>
        <w:div w:id="1939483066">
          <w:marLeft w:val="0"/>
          <w:marRight w:val="0"/>
          <w:marTop w:val="0"/>
          <w:marBottom w:val="0"/>
          <w:divBdr>
            <w:top w:val="none" w:sz="0" w:space="0" w:color="auto"/>
            <w:left w:val="none" w:sz="0" w:space="0" w:color="auto"/>
            <w:bottom w:val="none" w:sz="0" w:space="0" w:color="auto"/>
            <w:right w:val="none" w:sz="0" w:space="0" w:color="auto"/>
          </w:divBdr>
          <w:divsChild>
            <w:div w:id="532037809">
              <w:marLeft w:val="0"/>
              <w:marRight w:val="0"/>
              <w:marTop w:val="0"/>
              <w:marBottom w:val="0"/>
              <w:divBdr>
                <w:top w:val="none" w:sz="0" w:space="0" w:color="auto"/>
                <w:left w:val="none" w:sz="0" w:space="0" w:color="auto"/>
                <w:bottom w:val="none" w:sz="0" w:space="0" w:color="auto"/>
                <w:right w:val="none" w:sz="0" w:space="0" w:color="auto"/>
              </w:divBdr>
            </w:div>
            <w:div w:id="1691252900">
              <w:marLeft w:val="0"/>
              <w:marRight w:val="0"/>
              <w:marTop w:val="0"/>
              <w:marBottom w:val="0"/>
              <w:divBdr>
                <w:top w:val="none" w:sz="0" w:space="0" w:color="auto"/>
                <w:left w:val="none" w:sz="0" w:space="0" w:color="auto"/>
                <w:bottom w:val="none" w:sz="0" w:space="0" w:color="auto"/>
                <w:right w:val="none" w:sz="0" w:space="0" w:color="auto"/>
              </w:divBdr>
            </w:div>
            <w:div w:id="132666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59930">
              <w:marLeft w:val="0"/>
              <w:marRight w:val="0"/>
              <w:marTop w:val="0"/>
              <w:marBottom w:val="0"/>
              <w:divBdr>
                <w:top w:val="none" w:sz="0" w:space="0" w:color="auto"/>
                <w:left w:val="none" w:sz="0" w:space="0" w:color="auto"/>
                <w:bottom w:val="none" w:sz="0" w:space="0" w:color="auto"/>
                <w:right w:val="none" w:sz="0" w:space="0" w:color="auto"/>
              </w:divBdr>
            </w:div>
            <w:div w:id="1564609005">
              <w:marLeft w:val="0"/>
              <w:marRight w:val="0"/>
              <w:marTop w:val="0"/>
              <w:marBottom w:val="0"/>
              <w:divBdr>
                <w:top w:val="none" w:sz="0" w:space="0" w:color="auto"/>
                <w:left w:val="none" w:sz="0" w:space="0" w:color="auto"/>
                <w:bottom w:val="none" w:sz="0" w:space="0" w:color="auto"/>
                <w:right w:val="none" w:sz="0" w:space="0" w:color="auto"/>
              </w:divBdr>
            </w:div>
            <w:div w:id="1378510152">
              <w:marLeft w:val="0"/>
              <w:marRight w:val="0"/>
              <w:marTop w:val="0"/>
              <w:marBottom w:val="0"/>
              <w:divBdr>
                <w:top w:val="none" w:sz="0" w:space="0" w:color="auto"/>
                <w:left w:val="none" w:sz="0" w:space="0" w:color="auto"/>
                <w:bottom w:val="none" w:sz="0" w:space="0" w:color="auto"/>
                <w:right w:val="none" w:sz="0" w:space="0" w:color="auto"/>
              </w:divBdr>
            </w:div>
            <w:div w:id="267665932">
              <w:marLeft w:val="0"/>
              <w:marRight w:val="0"/>
              <w:marTop w:val="0"/>
              <w:marBottom w:val="0"/>
              <w:divBdr>
                <w:top w:val="none" w:sz="0" w:space="0" w:color="auto"/>
                <w:left w:val="none" w:sz="0" w:space="0" w:color="auto"/>
                <w:bottom w:val="none" w:sz="0" w:space="0" w:color="auto"/>
                <w:right w:val="none" w:sz="0" w:space="0" w:color="auto"/>
              </w:divBdr>
            </w:div>
            <w:div w:id="1773011837">
              <w:marLeft w:val="0"/>
              <w:marRight w:val="0"/>
              <w:marTop w:val="0"/>
              <w:marBottom w:val="0"/>
              <w:divBdr>
                <w:top w:val="none" w:sz="0" w:space="0" w:color="auto"/>
                <w:left w:val="none" w:sz="0" w:space="0" w:color="auto"/>
                <w:bottom w:val="none" w:sz="0" w:space="0" w:color="auto"/>
                <w:right w:val="none" w:sz="0" w:space="0" w:color="auto"/>
              </w:divBdr>
            </w:div>
            <w:div w:id="1280449611">
              <w:marLeft w:val="0"/>
              <w:marRight w:val="0"/>
              <w:marTop w:val="0"/>
              <w:marBottom w:val="0"/>
              <w:divBdr>
                <w:top w:val="none" w:sz="0" w:space="0" w:color="auto"/>
                <w:left w:val="none" w:sz="0" w:space="0" w:color="auto"/>
                <w:bottom w:val="none" w:sz="0" w:space="0" w:color="auto"/>
                <w:right w:val="none" w:sz="0" w:space="0" w:color="auto"/>
              </w:divBdr>
            </w:div>
            <w:div w:id="134493557">
              <w:marLeft w:val="0"/>
              <w:marRight w:val="0"/>
              <w:marTop w:val="0"/>
              <w:marBottom w:val="0"/>
              <w:divBdr>
                <w:top w:val="none" w:sz="0" w:space="0" w:color="auto"/>
                <w:left w:val="none" w:sz="0" w:space="0" w:color="auto"/>
                <w:bottom w:val="none" w:sz="0" w:space="0" w:color="auto"/>
                <w:right w:val="none" w:sz="0" w:space="0" w:color="auto"/>
              </w:divBdr>
            </w:div>
            <w:div w:id="1344433792">
              <w:marLeft w:val="0"/>
              <w:marRight w:val="0"/>
              <w:marTop w:val="0"/>
              <w:marBottom w:val="0"/>
              <w:divBdr>
                <w:top w:val="none" w:sz="0" w:space="0" w:color="auto"/>
                <w:left w:val="none" w:sz="0" w:space="0" w:color="auto"/>
                <w:bottom w:val="none" w:sz="0" w:space="0" w:color="auto"/>
                <w:right w:val="none" w:sz="0" w:space="0" w:color="auto"/>
              </w:divBdr>
            </w:div>
            <w:div w:id="1099906467">
              <w:marLeft w:val="0"/>
              <w:marRight w:val="0"/>
              <w:marTop w:val="0"/>
              <w:marBottom w:val="0"/>
              <w:divBdr>
                <w:top w:val="none" w:sz="0" w:space="0" w:color="auto"/>
                <w:left w:val="none" w:sz="0" w:space="0" w:color="auto"/>
                <w:bottom w:val="none" w:sz="0" w:space="0" w:color="auto"/>
                <w:right w:val="none" w:sz="0" w:space="0" w:color="auto"/>
              </w:divBdr>
            </w:div>
            <w:div w:id="835150908">
              <w:marLeft w:val="0"/>
              <w:marRight w:val="0"/>
              <w:marTop w:val="0"/>
              <w:marBottom w:val="0"/>
              <w:divBdr>
                <w:top w:val="none" w:sz="0" w:space="0" w:color="auto"/>
                <w:left w:val="none" w:sz="0" w:space="0" w:color="auto"/>
                <w:bottom w:val="none" w:sz="0" w:space="0" w:color="auto"/>
                <w:right w:val="none" w:sz="0" w:space="0" w:color="auto"/>
              </w:divBdr>
            </w:div>
            <w:div w:id="159859047">
              <w:marLeft w:val="0"/>
              <w:marRight w:val="0"/>
              <w:marTop w:val="0"/>
              <w:marBottom w:val="0"/>
              <w:divBdr>
                <w:top w:val="none" w:sz="0" w:space="0" w:color="auto"/>
                <w:left w:val="none" w:sz="0" w:space="0" w:color="auto"/>
                <w:bottom w:val="none" w:sz="0" w:space="0" w:color="auto"/>
                <w:right w:val="none" w:sz="0" w:space="0" w:color="auto"/>
              </w:divBdr>
            </w:div>
            <w:div w:id="988245397">
              <w:marLeft w:val="0"/>
              <w:marRight w:val="0"/>
              <w:marTop w:val="0"/>
              <w:marBottom w:val="0"/>
              <w:divBdr>
                <w:top w:val="none" w:sz="0" w:space="0" w:color="auto"/>
                <w:left w:val="none" w:sz="0" w:space="0" w:color="auto"/>
                <w:bottom w:val="none" w:sz="0" w:space="0" w:color="auto"/>
                <w:right w:val="none" w:sz="0" w:space="0" w:color="auto"/>
              </w:divBdr>
            </w:div>
            <w:div w:id="686714347">
              <w:marLeft w:val="0"/>
              <w:marRight w:val="0"/>
              <w:marTop w:val="0"/>
              <w:marBottom w:val="0"/>
              <w:divBdr>
                <w:top w:val="none" w:sz="0" w:space="0" w:color="auto"/>
                <w:left w:val="none" w:sz="0" w:space="0" w:color="auto"/>
                <w:bottom w:val="none" w:sz="0" w:space="0" w:color="auto"/>
                <w:right w:val="none" w:sz="0" w:space="0" w:color="auto"/>
              </w:divBdr>
            </w:div>
            <w:div w:id="159976033">
              <w:marLeft w:val="0"/>
              <w:marRight w:val="0"/>
              <w:marTop w:val="0"/>
              <w:marBottom w:val="0"/>
              <w:divBdr>
                <w:top w:val="none" w:sz="0" w:space="0" w:color="auto"/>
                <w:left w:val="none" w:sz="0" w:space="0" w:color="auto"/>
                <w:bottom w:val="none" w:sz="0" w:space="0" w:color="auto"/>
                <w:right w:val="none" w:sz="0" w:space="0" w:color="auto"/>
              </w:divBdr>
            </w:div>
            <w:div w:id="848326947">
              <w:marLeft w:val="0"/>
              <w:marRight w:val="0"/>
              <w:marTop w:val="0"/>
              <w:marBottom w:val="0"/>
              <w:divBdr>
                <w:top w:val="none" w:sz="0" w:space="0" w:color="auto"/>
                <w:left w:val="none" w:sz="0" w:space="0" w:color="auto"/>
                <w:bottom w:val="none" w:sz="0" w:space="0" w:color="auto"/>
                <w:right w:val="none" w:sz="0" w:space="0" w:color="auto"/>
              </w:divBdr>
            </w:div>
            <w:div w:id="2010207630">
              <w:marLeft w:val="0"/>
              <w:marRight w:val="0"/>
              <w:marTop w:val="0"/>
              <w:marBottom w:val="0"/>
              <w:divBdr>
                <w:top w:val="none" w:sz="0" w:space="0" w:color="auto"/>
                <w:left w:val="none" w:sz="0" w:space="0" w:color="auto"/>
                <w:bottom w:val="none" w:sz="0" w:space="0" w:color="auto"/>
                <w:right w:val="none" w:sz="0" w:space="0" w:color="auto"/>
              </w:divBdr>
            </w:div>
            <w:div w:id="1113941992">
              <w:marLeft w:val="0"/>
              <w:marRight w:val="0"/>
              <w:marTop w:val="0"/>
              <w:marBottom w:val="0"/>
              <w:divBdr>
                <w:top w:val="none" w:sz="0" w:space="0" w:color="auto"/>
                <w:left w:val="none" w:sz="0" w:space="0" w:color="auto"/>
                <w:bottom w:val="none" w:sz="0" w:space="0" w:color="auto"/>
                <w:right w:val="none" w:sz="0" w:space="0" w:color="auto"/>
              </w:divBdr>
            </w:div>
            <w:div w:id="1448084287">
              <w:marLeft w:val="0"/>
              <w:marRight w:val="0"/>
              <w:marTop w:val="0"/>
              <w:marBottom w:val="0"/>
              <w:divBdr>
                <w:top w:val="none" w:sz="0" w:space="0" w:color="auto"/>
                <w:left w:val="none" w:sz="0" w:space="0" w:color="auto"/>
                <w:bottom w:val="none" w:sz="0" w:space="0" w:color="auto"/>
                <w:right w:val="none" w:sz="0" w:space="0" w:color="auto"/>
              </w:divBdr>
            </w:div>
            <w:div w:id="396125199">
              <w:marLeft w:val="0"/>
              <w:marRight w:val="0"/>
              <w:marTop w:val="0"/>
              <w:marBottom w:val="0"/>
              <w:divBdr>
                <w:top w:val="none" w:sz="0" w:space="0" w:color="auto"/>
                <w:left w:val="none" w:sz="0" w:space="0" w:color="auto"/>
                <w:bottom w:val="none" w:sz="0" w:space="0" w:color="auto"/>
                <w:right w:val="none" w:sz="0" w:space="0" w:color="auto"/>
              </w:divBdr>
            </w:div>
            <w:div w:id="715348905">
              <w:marLeft w:val="0"/>
              <w:marRight w:val="0"/>
              <w:marTop w:val="0"/>
              <w:marBottom w:val="0"/>
              <w:divBdr>
                <w:top w:val="none" w:sz="0" w:space="0" w:color="auto"/>
                <w:left w:val="none" w:sz="0" w:space="0" w:color="auto"/>
                <w:bottom w:val="none" w:sz="0" w:space="0" w:color="auto"/>
                <w:right w:val="none" w:sz="0" w:space="0" w:color="auto"/>
              </w:divBdr>
            </w:div>
            <w:div w:id="417020071">
              <w:marLeft w:val="0"/>
              <w:marRight w:val="0"/>
              <w:marTop w:val="0"/>
              <w:marBottom w:val="0"/>
              <w:divBdr>
                <w:top w:val="none" w:sz="0" w:space="0" w:color="auto"/>
                <w:left w:val="none" w:sz="0" w:space="0" w:color="auto"/>
                <w:bottom w:val="none" w:sz="0" w:space="0" w:color="auto"/>
                <w:right w:val="none" w:sz="0" w:space="0" w:color="auto"/>
              </w:divBdr>
            </w:div>
            <w:div w:id="2059428391">
              <w:marLeft w:val="0"/>
              <w:marRight w:val="0"/>
              <w:marTop w:val="0"/>
              <w:marBottom w:val="0"/>
              <w:divBdr>
                <w:top w:val="none" w:sz="0" w:space="0" w:color="auto"/>
                <w:left w:val="none" w:sz="0" w:space="0" w:color="auto"/>
                <w:bottom w:val="none" w:sz="0" w:space="0" w:color="auto"/>
                <w:right w:val="none" w:sz="0" w:space="0" w:color="auto"/>
              </w:divBdr>
            </w:div>
            <w:div w:id="347097353">
              <w:marLeft w:val="0"/>
              <w:marRight w:val="0"/>
              <w:marTop w:val="0"/>
              <w:marBottom w:val="0"/>
              <w:divBdr>
                <w:top w:val="none" w:sz="0" w:space="0" w:color="auto"/>
                <w:left w:val="none" w:sz="0" w:space="0" w:color="auto"/>
                <w:bottom w:val="none" w:sz="0" w:space="0" w:color="auto"/>
                <w:right w:val="none" w:sz="0" w:space="0" w:color="auto"/>
              </w:divBdr>
            </w:div>
            <w:div w:id="2072540034">
              <w:marLeft w:val="0"/>
              <w:marRight w:val="0"/>
              <w:marTop w:val="0"/>
              <w:marBottom w:val="0"/>
              <w:divBdr>
                <w:top w:val="none" w:sz="0" w:space="0" w:color="auto"/>
                <w:left w:val="none" w:sz="0" w:space="0" w:color="auto"/>
                <w:bottom w:val="none" w:sz="0" w:space="0" w:color="auto"/>
                <w:right w:val="none" w:sz="0" w:space="0" w:color="auto"/>
              </w:divBdr>
            </w:div>
            <w:div w:id="1698659344">
              <w:marLeft w:val="0"/>
              <w:marRight w:val="0"/>
              <w:marTop w:val="0"/>
              <w:marBottom w:val="0"/>
              <w:divBdr>
                <w:top w:val="none" w:sz="0" w:space="0" w:color="auto"/>
                <w:left w:val="none" w:sz="0" w:space="0" w:color="auto"/>
                <w:bottom w:val="none" w:sz="0" w:space="0" w:color="auto"/>
                <w:right w:val="none" w:sz="0" w:space="0" w:color="auto"/>
              </w:divBdr>
            </w:div>
            <w:div w:id="371930431">
              <w:marLeft w:val="0"/>
              <w:marRight w:val="0"/>
              <w:marTop w:val="0"/>
              <w:marBottom w:val="0"/>
              <w:divBdr>
                <w:top w:val="none" w:sz="0" w:space="0" w:color="auto"/>
                <w:left w:val="none" w:sz="0" w:space="0" w:color="auto"/>
                <w:bottom w:val="none" w:sz="0" w:space="0" w:color="auto"/>
                <w:right w:val="none" w:sz="0" w:space="0" w:color="auto"/>
              </w:divBdr>
            </w:div>
            <w:div w:id="1292134020">
              <w:marLeft w:val="0"/>
              <w:marRight w:val="0"/>
              <w:marTop w:val="0"/>
              <w:marBottom w:val="0"/>
              <w:divBdr>
                <w:top w:val="none" w:sz="0" w:space="0" w:color="auto"/>
                <w:left w:val="none" w:sz="0" w:space="0" w:color="auto"/>
                <w:bottom w:val="none" w:sz="0" w:space="0" w:color="auto"/>
                <w:right w:val="none" w:sz="0" w:space="0" w:color="auto"/>
              </w:divBdr>
            </w:div>
            <w:div w:id="168569196">
              <w:marLeft w:val="0"/>
              <w:marRight w:val="0"/>
              <w:marTop w:val="0"/>
              <w:marBottom w:val="0"/>
              <w:divBdr>
                <w:top w:val="none" w:sz="0" w:space="0" w:color="auto"/>
                <w:left w:val="none" w:sz="0" w:space="0" w:color="auto"/>
                <w:bottom w:val="none" w:sz="0" w:space="0" w:color="auto"/>
                <w:right w:val="none" w:sz="0" w:space="0" w:color="auto"/>
              </w:divBdr>
            </w:div>
            <w:div w:id="594899477">
              <w:marLeft w:val="0"/>
              <w:marRight w:val="0"/>
              <w:marTop w:val="0"/>
              <w:marBottom w:val="0"/>
              <w:divBdr>
                <w:top w:val="none" w:sz="0" w:space="0" w:color="auto"/>
                <w:left w:val="none" w:sz="0" w:space="0" w:color="auto"/>
                <w:bottom w:val="none" w:sz="0" w:space="0" w:color="auto"/>
                <w:right w:val="none" w:sz="0" w:space="0" w:color="auto"/>
              </w:divBdr>
            </w:div>
            <w:div w:id="1033382802">
              <w:marLeft w:val="0"/>
              <w:marRight w:val="0"/>
              <w:marTop w:val="0"/>
              <w:marBottom w:val="0"/>
              <w:divBdr>
                <w:top w:val="none" w:sz="0" w:space="0" w:color="auto"/>
                <w:left w:val="none" w:sz="0" w:space="0" w:color="auto"/>
                <w:bottom w:val="none" w:sz="0" w:space="0" w:color="auto"/>
                <w:right w:val="none" w:sz="0" w:space="0" w:color="auto"/>
              </w:divBdr>
            </w:div>
            <w:div w:id="625232919">
              <w:marLeft w:val="0"/>
              <w:marRight w:val="0"/>
              <w:marTop w:val="0"/>
              <w:marBottom w:val="0"/>
              <w:divBdr>
                <w:top w:val="none" w:sz="0" w:space="0" w:color="auto"/>
                <w:left w:val="none" w:sz="0" w:space="0" w:color="auto"/>
                <w:bottom w:val="none" w:sz="0" w:space="0" w:color="auto"/>
                <w:right w:val="none" w:sz="0" w:space="0" w:color="auto"/>
              </w:divBdr>
            </w:div>
            <w:div w:id="585309180">
              <w:marLeft w:val="0"/>
              <w:marRight w:val="0"/>
              <w:marTop w:val="0"/>
              <w:marBottom w:val="0"/>
              <w:divBdr>
                <w:top w:val="none" w:sz="0" w:space="0" w:color="auto"/>
                <w:left w:val="none" w:sz="0" w:space="0" w:color="auto"/>
                <w:bottom w:val="none" w:sz="0" w:space="0" w:color="auto"/>
                <w:right w:val="none" w:sz="0" w:space="0" w:color="auto"/>
              </w:divBdr>
            </w:div>
            <w:div w:id="522523376">
              <w:marLeft w:val="0"/>
              <w:marRight w:val="0"/>
              <w:marTop w:val="0"/>
              <w:marBottom w:val="0"/>
              <w:divBdr>
                <w:top w:val="none" w:sz="0" w:space="0" w:color="auto"/>
                <w:left w:val="none" w:sz="0" w:space="0" w:color="auto"/>
                <w:bottom w:val="none" w:sz="0" w:space="0" w:color="auto"/>
                <w:right w:val="none" w:sz="0" w:space="0" w:color="auto"/>
              </w:divBdr>
            </w:div>
            <w:div w:id="1544101620">
              <w:marLeft w:val="0"/>
              <w:marRight w:val="0"/>
              <w:marTop w:val="0"/>
              <w:marBottom w:val="0"/>
              <w:divBdr>
                <w:top w:val="single" w:sz="6" w:space="0" w:color="EEEEEE"/>
                <w:left w:val="single" w:sz="6" w:space="0" w:color="EEEEEE"/>
                <w:bottom w:val="single" w:sz="6" w:space="0" w:color="EEEEEE"/>
                <w:right w:val="single" w:sz="6" w:space="0" w:color="EEEEEE"/>
              </w:divBdr>
              <w:divsChild>
                <w:div w:id="1651402607">
                  <w:marLeft w:val="0"/>
                  <w:marRight w:val="0"/>
                  <w:marTop w:val="0"/>
                  <w:marBottom w:val="0"/>
                  <w:divBdr>
                    <w:top w:val="none" w:sz="0" w:space="0" w:color="auto"/>
                    <w:left w:val="none" w:sz="0" w:space="0" w:color="auto"/>
                    <w:bottom w:val="none" w:sz="0" w:space="0" w:color="auto"/>
                    <w:right w:val="none" w:sz="0" w:space="0" w:color="auto"/>
                  </w:divBdr>
                </w:div>
                <w:div w:id="1209998815">
                  <w:marLeft w:val="0"/>
                  <w:marRight w:val="0"/>
                  <w:marTop w:val="0"/>
                  <w:marBottom w:val="0"/>
                  <w:divBdr>
                    <w:top w:val="none" w:sz="0" w:space="0" w:color="auto"/>
                    <w:left w:val="none" w:sz="0" w:space="0" w:color="auto"/>
                    <w:bottom w:val="none" w:sz="0" w:space="0" w:color="auto"/>
                    <w:right w:val="none" w:sz="0" w:space="0" w:color="auto"/>
                  </w:divBdr>
                  <w:divsChild>
                    <w:div w:id="967584359">
                      <w:marLeft w:val="0"/>
                      <w:marRight w:val="0"/>
                      <w:marTop w:val="0"/>
                      <w:marBottom w:val="0"/>
                      <w:divBdr>
                        <w:top w:val="none" w:sz="0" w:space="0" w:color="auto"/>
                        <w:left w:val="none" w:sz="0" w:space="0" w:color="auto"/>
                        <w:bottom w:val="none" w:sz="0" w:space="0" w:color="auto"/>
                        <w:right w:val="none" w:sz="0" w:space="0" w:color="auto"/>
                      </w:divBdr>
                    </w:div>
                  </w:divsChild>
                </w:div>
                <w:div w:id="163281007">
                  <w:marLeft w:val="0"/>
                  <w:marRight w:val="0"/>
                  <w:marTop w:val="0"/>
                  <w:marBottom w:val="0"/>
                  <w:divBdr>
                    <w:top w:val="none" w:sz="0" w:space="0" w:color="auto"/>
                    <w:left w:val="none" w:sz="0" w:space="0" w:color="auto"/>
                    <w:bottom w:val="none" w:sz="0" w:space="0" w:color="auto"/>
                    <w:right w:val="none" w:sz="0" w:space="0" w:color="auto"/>
                  </w:divBdr>
                </w:div>
                <w:div w:id="1523320129">
                  <w:marLeft w:val="0"/>
                  <w:marRight w:val="0"/>
                  <w:marTop w:val="0"/>
                  <w:marBottom w:val="0"/>
                  <w:divBdr>
                    <w:top w:val="none" w:sz="0" w:space="0" w:color="auto"/>
                    <w:left w:val="none" w:sz="0" w:space="0" w:color="auto"/>
                    <w:bottom w:val="none" w:sz="0" w:space="0" w:color="auto"/>
                    <w:right w:val="none" w:sz="0" w:space="0" w:color="auto"/>
                  </w:divBdr>
                </w:div>
                <w:div w:id="598607413">
                  <w:marLeft w:val="0"/>
                  <w:marRight w:val="0"/>
                  <w:marTop w:val="0"/>
                  <w:marBottom w:val="0"/>
                  <w:divBdr>
                    <w:top w:val="none" w:sz="0" w:space="0" w:color="auto"/>
                    <w:left w:val="none" w:sz="0" w:space="0" w:color="auto"/>
                    <w:bottom w:val="none" w:sz="0" w:space="0" w:color="auto"/>
                    <w:right w:val="none" w:sz="0" w:space="0" w:color="auto"/>
                  </w:divBdr>
                </w:div>
                <w:div w:id="503320106">
                  <w:marLeft w:val="0"/>
                  <w:marRight w:val="0"/>
                  <w:marTop w:val="0"/>
                  <w:marBottom w:val="0"/>
                  <w:divBdr>
                    <w:top w:val="none" w:sz="0" w:space="0" w:color="auto"/>
                    <w:left w:val="none" w:sz="0" w:space="0" w:color="auto"/>
                    <w:bottom w:val="none" w:sz="0" w:space="0" w:color="auto"/>
                    <w:right w:val="none" w:sz="0" w:space="0" w:color="auto"/>
                  </w:divBdr>
                </w:div>
              </w:divsChild>
            </w:div>
            <w:div w:id="1930428656">
              <w:marLeft w:val="0"/>
              <w:marRight w:val="0"/>
              <w:marTop w:val="0"/>
              <w:marBottom w:val="0"/>
              <w:divBdr>
                <w:top w:val="single" w:sz="6" w:space="0" w:color="EEEEEE"/>
                <w:left w:val="single" w:sz="6" w:space="0" w:color="EEEEEE"/>
                <w:bottom w:val="single" w:sz="6" w:space="0" w:color="EEEEEE"/>
                <w:right w:val="single" w:sz="6" w:space="0" w:color="EEEEEE"/>
              </w:divBdr>
              <w:divsChild>
                <w:div w:id="2079663799">
                  <w:marLeft w:val="0"/>
                  <w:marRight w:val="0"/>
                  <w:marTop w:val="0"/>
                  <w:marBottom w:val="0"/>
                  <w:divBdr>
                    <w:top w:val="none" w:sz="0" w:space="0" w:color="auto"/>
                    <w:left w:val="none" w:sz="0" w:space="0" w:color="auto"/>
                    <w:bottom w:val="none" w:sz="0" w:space="0" w:color="auto"/>
                    <w:right w:val="none" w:sz="0" w:space="0" w:color="auto"/>
                  </w:divBdr>
                </w:div>
                <w:div w:id="1605504405">
                  <w:marLeft w:val="0"/>
                  <w:marRight w:val="0"/>
                  <w:marTop w:val="0"/>
                  <w:marBottom w:val="0"/>
                  <w:divBdr>
                    <w:top w:val="none" w:sz="0" w:space="0" w:color="auto"/>
                    <w:left w:val="none" w:sz="0" w:space="0" w:color="auto"/>
                    <w:bottom w:val="none" w:sz="0" w:space="0" w:color="auto"/>
                    <w:right w:val="none" w:sz="0" w:space="0" w:color="auto"/>
                  </w:divBdr>
                  <w:divsChild>
                    <w:div w:id="1422989873">
                      <w:marLeft w:val="0"/>
                      <w:marRight w:val="0"/>
                      <w:marTop w:val="0"/>
                      <w:marBottom w:val="0"/>
                      <w:divBdr>
                        <w:top w:val="none" w:sz="0" w:space="0" w:color="auto"/>
                        <w:left w:val="none" w:sz="0" w:space="0" w:color="auto"/>
                        <w:bottom w:val="none" w:sz="0" w:space="0" w:color="auto"/>
                        <w:right w:val="none" w:sz="0" w:space="0" w:color="auto"/>
                      </w:divBdr>
                    </w:div>
                  </w:divsChild>
                </w:div>
                <w:div w:id="621498469">
                  <w:marLeft w:val="0"/>
                  <w:marRight w:val="0"/>
                  <w:marTop w:val="0"/>
                  <w:marBottom w:val="0"/>
                  <w:divBdr>
                    <w:top w:val="none" w:sz="0" w:space="0" w:color="auto"/>
                    <w:left w:val="none" w:sz="0" w:space="0" w:color="auto"/>
                    <w:bottom w:val="none" w:sz="0" w:space="0" w:color="auto"/>
                    <w:right w:val="none" w:sz="0" w:space="0" w:color="auto"/>
                  </w:divBdr>
                </w:div>
                <w:div w:id="32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UbiO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9Fome8NdNN6PJgsNUZ-2F50esUBYdwGDtkZS0V0gBm-2BOpx1i0hWVsBVjG-2FmgNu7Y6QzL56hs44lnPm9SQmPUjFEf-2FkfpNrC5Im9th5bhm3XNX2nA7HquNqo5BLrO7faMGnqsOO2pej5Re8vFWfUGh23be5JG9cAeRYAWUximAuShTxowLi8CrfPdHqzE88bAKAQ-3D" TargetMode="External"/><Relationship Id="rId13"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CTdZ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BIoRgl-2FCQuS3W0FbOVdINDaHzrjBCu0yVGsSS79rkmMlkX-2BRkw-2ByFWg56cUkm16xL2glC0d2kYxJdH-2FP3zbLWVzXtGJygG14IqaEaO5izwNQMIOo8hKvnL3zbeWQ6X2ngPFygUxZedp4Qr3LXr5FXHJf4WYHPSs20-2Fv2c5NC-2BAleFcwyK7UelpbngI-2BdKOe5Q-3D" TargetMode="External"/><Relationship Id="rId18"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dYjnek7MdstixbFbKoOeQiusygovdn-2BBV4mxcUISdX5dSh2rJ3vSzz2LGTvOsmpk-3DXFkQ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9wv0pXALgyGsabnRGdsN5lnITJTvP3KyYF5X3uhrdgUeOQhRGXj-2BeGxFot6HkIA6ZxUvSjcWsKaKHc3rqKirUlfRm2mLgvFpjwx6i7uMQa7MrGUdzMsMcCcAaegWDOIclx-2FkxZjsFxBs2mPP728hDejilZtEvA8HVrH6-2FLB1iguOi73eg8x6Vu9LhM0RoLUKA-3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7R0XFn3ZfVGgkducQ4qei5ag06l7k4fd-2BihmBZFttuq1ibFzxx1tSk4H1xSlxiRD1jJbjkW9pAhZEJZ0S12ukE-3DCZAv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9wv0pXALgyGsabnRGdsN5loVcsuwdrdfbwMvsRPzg6QFtvRunajZQt18xprNw6b-2FhLDXxjPUUBDqva1CYM3WcvplGfKME6Y68l-2B-2FtCWIIlYt8um3W0giS-2BL7EHKt0UpGU3YE1myInHCCQtVdbwkHwv6jW-2BXwcaQGQquqMFmFLxBtpkU6nk6bNSt-2FJKiASW6Cg-3D" TargetMode="External"/><Relationship Id="rId12"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JK5n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B4oP6LV0Z8Kxf0CzWcvUh-2FlGhwEADfrvKUJ7QO-2BPwxmTSuqdGtzSIezz-2FAeGBlRD6SCvbky67NEaoI7G19nLc5oNORM6tmR9rr3GVhkal80W7xj8QdC0rj-2Fpkjm-2FYztLTxjMOf58yQgnqP4kwn4Woxx5OnrN9EyIcxpEkCJ4sSC-2FsdLNQY4lIMxTQVYaKnxJQ-3D" TargetMode="External"/><Relationship Id="rId17"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dYjnek7MdstixbFbKoOeQiusygovdn-2BBV4mxcUISdX5dSh2rJ3vSzz2LGTvOsmpk-3D1Bp3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F5XAvH4ZSa0by9is0kDrzMwtXYk6MKTcE2JF-2BePo5hlWj8kJVIIt8xkMtF09U2cbncPzvsiepxrt8iCyZixgRtAkhXWuAOABbq9oO2x4P8-2BHitmiqhmq3HriqPaW9jLOqkr-2BcRytf1RU2mDcGdYDISnUB72eJ8hveQqsnQdy-2BizaJVnF4Qr4a26ZGRtfpCLvI-3D"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cfl7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8wW8WDHeny-2BRIusN7g5IMPvbnsFDN0L-2FzG02mBLe3SmHkSM-2FX0BoCyGjuR-2F2txidzJUQWfdYIKja6fW3grCddn5zd-2FWQam9ZVUKl9dNL5LprKf-2B2dwzGCI7MQf4mYNA8a6lQzuHOZgeYL01r2ITt7Ldb-2Bip-2BKxyBDekxEu17M2pL4Gn2hnPDUpltrkwwwyAQs-3D" TargetMode="External"/><Relationship Id="rId5"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wMaRD6rDyE8eePOt6J-2FBdMOC-2F4BMFRmrzNaGmc-2FAdnMP-2BtjhCsVVOqc1oGASfLBHc5L9PlLqZ0VRU1pNjriDf9miVoSCzX4ipqupBEPtNmPTlRqieuN2qrfJLSQw3bNQW8xfgXKG-2FZx3kg2yNrxuiQ-3Dj6FI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BeLdEWwVMNHFqrS1mbsDyAXnzt5004UIdEymr-2F8uo3PXl-2BSO9iuH6AHIt5tcsRz1FBBI6aNTS1B-2F0mDuO-2FX7qoGd23ME-2B1wJjou4hO07HgA0xPtfc20guFSVnDlp-2F0f7EJ1kMIyQRctvnKh6MULtEuI71tnGeH9zKu7lbN1OvMYeQtD9Fa3oqgwrJp7O1UrOw-3D" TargetMode="External"/><Relationship Id="rId15"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dYjnek7MdstixbFbKoOeQiusygovdn-2BBV4mxcUISdX5dSh2rJ3vSzz2LGTvOsmpk-3DYAM7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9ZvhW3drUrxRjKVPJJW-2BTfqPaL2-2F-2Fq9eOtde-2FoPm92O48X8vUbUiWf27l2QGaJDZwZtYsn-2BOjsbZpFBg8kj2LXz6TkGj-2BxoV9zzSwx-2BSI3-2BlpStw0ksvqJfcZn1CFLe9RDqoMskT99uaMfi8GY9lUCQ0vz-2FxJKE-2BvdEM77z5bKZJ-2BHp-2FsloEkL-2Br2QTQ4c1Os-3D" TargetMode="External"/><Relationship Id="rId10"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63yw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BAliP0ExUwBEGGOsBb1Uwbhos28JNw-2Fyh-2BynTFMdz7Khx9WGkx7GSn1x4lLM6a8wjkal1CSoGFYOGfo-2FyF2EBBmv-2FOw4-2BxaIRdmKNO-2B4qeYOA8tx8CjTb61Hpa61fi7nPXmGXVZ6jyZeGOD44Hb8qFxsRY1nqLG-2FAgf9vOqPtdCGQP4RaYFxwiKAiKuB62toA-3D" TargetMode="External"/><Relationship Id="rId19"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dYjnek7MdstixbFbKoOeQiusygovdn-2BBV4mxcUISdX5dSh2rJ3vSzz2LGTvOsmpk-3Dc7GO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9wv0pXALgyGsabnRGdsN5lC3ipWvSk5vZJFW7Q7FnW4110h4jqb1KmC0rlrlif-2BeseQCIe3YvvtJpM5-2BH6zSI2WdvjXisexeMH2d9vhf1m1cc4j5iozXOwSIicE8N1-2FKXSIJ1Mm32qHiYKMUOE6TEWnMvlxA31Om0lborCmyaY7P7a-2FX3XhlBJFMCpBaBFBpE-3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15907202.ct.sendgrid.net/ls/click?upn=u001.BS3b0sns2vi09mS-2BgpA7-2FxlCE5-2FMeDcxmuAJ77zZ0O7fnJuCBdGT0hi64BQk-2BCYH2fn7N6PJEEU2QDGYDGWmrSbM81PzKObgHQqPkmbJ6rYAQ3cuvm-2B4ZWavO0BC6gpHATGFqOFWSL8G70oEn3MPho2hqqKcRhGMuJ-2Fw-2BhgF3nBZQnjIGTJO-2FJ039NX21pQU8JKBTzSpKa8hpUc-2BrXkugQtI-2FypSdLXbR7puEACWkYYvOcQ5Ce-2F0-2Bm3g3CqPFavpEqkFNp-2BPu2-2BAz7g9Wo5xhy8Tt1AyMACTvbNe2Su4vi7VImzOHcsXXuxSrE3-2FEjPifhS1eL52d6Aihnkoi3YA1SJKFndQu-2FWCrIGJDnohHwLCf6BAQAeJgUGzCrYh6NDnhHMWAxx83rWLW3IUvgVSOURvVTXfh3wNblbUkfrp-2FfBSfRpUXNpwUcLtacN8fvB94HyFPixfyD0K4hds76dsS1o6rdzDj434Xlrhsfds-2FXJbFKips7AI-2FhMq3Xs2CQtvOcw2xyOdfEwNDBrbNgsQhN80Bj9y50zSJ47xwgdLlTdamNEoxzaAqiq95k1x-2F5BiIOLlATsqP3KKPjnPGmFpG3mB2CisO9jm1Z0CfGMDR0c-3DylU__n3bxkV8nMvNomN5UNSwQSifL41iFvT-2BPDGxDOJy1Ank1b5KOgcjEyx21UwE8Z1yRvbWmg1zoSK6ne6dM9FGULqETp1JqfY0T2-2BfeOZ6UWuZVUAraBUif9z1-2BZCn8AlETqcVcz29YeClWofMbygGWxSrfVySr1umQ9H7dWfaBtB8SjkgqOpq0kNPP6HXXYyDG6EfRQoB3pjSgsOlNV47eAUezfisn-2B2K3Gmnbz-2B1F5aFazS7EN1Nm1aFxWXxW6QUYqfqMhbkipu6Suw1lXULg-2Fl0iolc2rqi6KAExwFE7wM-2FH9gDz6FXBUw0TspNucWpnF2geCXeZKxFqEGCVoMKXwS007TAIt-2FxBCtVh3-2BMxQThOZP3f6rqA5MtVyyiAli8zkhtEctN1FOo-2BCE-2F6pfkjzChNAGB518l2zqfil0-2FuZTBfQQakswHQdBFL7mTLe-2FNZx-2F699DoO46YiOC9mtzejZjnNpVbnTI25HwTGbQfrMx4-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3728</Words>
  <Characters>20505</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cp:lastPrinted>2024-04-25T06:38:00Z</cp:lastPrinted>
  <dcterms:created xsi:type="dcterms:W3CDTF">2024-04-25T06:37:00Z</dcterms:created>
  <dcterms:modified xsi:type="dcterms:W3CDTF">2024-04-25T06:41:00Z</dcterms:modified>
</cp:coreProperties>
</file>