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413" w:lineRule="atLeast"/>
                    <w:jc w:val="center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secures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court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advance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monetization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process</w:t>
                  </w:r>
                  <w:proofErr w:type="spellEnd"/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75" w:type="dxa"/>
              <w:left w:w="270" w:type="dxa"/>
              <w:bottom w:w="7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Court Grants "Transfer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under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Judicial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Supervision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"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CDMO facility,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safeguarding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Mithra's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activities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expediting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M&amp;A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process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Contract Development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Manufacturing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Organization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Approval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Judicial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Reorganization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Proceedings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Novalon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SA,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facilitating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amicable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agreement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some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creditors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restructuring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debt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Mithra's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complex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therapeutics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business.</w:t>
                  </w:r>
                </w:p>
                <w:p w:rsidR="006E52DB" w:rsidRPr="006E52DB" w:rsidRDefault="006E52DB" w:rsidP="006E52D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Advances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Monetization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Process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Court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marking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significant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milestones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in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company's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commitment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maximizing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value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stakeholders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while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ensuring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operational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continuity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 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Liege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, Belgium, 22 April 2024 – 7:00 CEST</w:t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 –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(Euronext Brussels: MITRA), a company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dedicated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women’s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health,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today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announces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Liege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Company Court has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granted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company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two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crucial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further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advancing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monetization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process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ensuring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continuity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activities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spacing w:after="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Following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 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fldChar w:fldCharType="begin"/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instrText xml:space="preserve"> HYPERLINK "https://mithra.us9.list-manage.com/track/click?u=d9f061061b6cca7c2a18e1c82&amp;id=8fbe8a0c96&amp;e=ba5559c97a" \t "_blank" </w:instrText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fldChar w:fldCharType="separate"/>
                  </w:r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5BB8B2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announcement</w:t>
                  </w:r>
                  <w:proofErr w:type="spellEnd"/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5BB8B2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 xml:space="preserve"> on 28 </w:t>
                  </w:r>
                  <w:proofErr w:type="spellStart"/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5BB8B2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March</w:t>
                  </w:r>
                  <w:proofErr w:type="spellEnd"/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5BB8B2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, 2024</w:t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fldChar w:fldCharType="end"/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 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detailing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application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these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Liege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Company Court has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approved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application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a "transfer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under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judicial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supervision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"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which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is 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judicial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reorganization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procedure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Contract Development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Manufacturing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Organization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(CDMO)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located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in Flémalle, Belgium.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significant development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provides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activities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from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creditors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installs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court-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designated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trustees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oversee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negotiations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potential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bidders. The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objective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select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best offer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while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safeguarding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interests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company,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creditors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employees.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Additionally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application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judicial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reorganization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proceedings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restructure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debt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Novalon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SA,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complex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therapeutics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business, has been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approved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by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Liege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Company Court.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procedure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involves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reaching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amicable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agreement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some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creditors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implementing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a court-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sanctioned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debt-restructuring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plan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therewith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The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aim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ensure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financial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stability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Novalon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SA,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reach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agreement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those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selected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creditors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maintain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operational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continuity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business. The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duration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two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months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starting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from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Court’s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ruling date,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until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19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2024. The target date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monetization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other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subsidiaries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(</w:t>
                  </w:r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1"/>
                      <w:szCs w:val="21"/>
                      <w:lang w:eastAsia="nl-BE"/>
                    </w:rPr>
                    <w:t>i.e., 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Estetra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SRL,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R&amp;D,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Neuralis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)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Group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remains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unchanged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committed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bridge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loan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facility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covering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operations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until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30 April 2024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option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extend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May.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These court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mark significant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milestones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on-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going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monetization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process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underscore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company's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commitment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maximizing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value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all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stakeholders. These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apply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two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aforementioned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lastRenderedPageBreak/>
                    <w:t>subsidiary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companies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not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group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By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securing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these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can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navigate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process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effectively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while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prioritizing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interests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of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employees,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creditors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other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stakeholders,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company as 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whole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will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continue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work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closely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with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engaged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investment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banks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appointed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advisors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potential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buyers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court-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appointed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experts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execute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these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measures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effectively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achieve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optimal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outcomes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for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all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stakeholders.</w:t>
                  </w: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6"/>
            </w:tblGrid>
            <w:tr w:rsidR="006E52DB" w:rsidRPr="006E52DB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</w:pPr>
                  <w:hyperlink r:id="rId5" w:tgtFrame="_blank" w:tooltip="Read the press release" w:history="1"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 xml:space="preserve">Read </w:t>
                    </w:r>
                    <w:proofErr w:type="spellStart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>the</w:t>
                    </w:r>
                    <w:proofErr w:type="spellEnd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 xml:space="preserve"> </w:t>
                    </w:r>
                    <w:proofErr w:type="spellStart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>press</w:t>
                    </w:r>
                    <w:proofErr w:type="spellEnd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 xml:space="preserve"> release</w:t>
                    </w:r>
                  </w:hyperlink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shd w:val="clear" w:color="auto" w:fill="F7F7F7"/>
            <w:tcMar>
              <w:top w:w="375" w:type="dxa"/>
              <w:left w:w="270" w:type="dxa"/>
              <w:bottom w:w="37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75" w:type="dxa"/>
              <w:left w:w="270" w:type="dxa"/>
              <w:bottom w:w="7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315" w:lineRule="atLeast"/>
                    <w:jc w:val="right"/>
                    <w:textAlignment w:val="baseline"/>
                    <w:divId w:val="435642859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hyperlink r:id="rId6" w:anchor="x_ENVERSION" w:history="1"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5BB8B2"/>
                        <w:sz w:val="21"/>
                        <w:szCs w:val="21"/>
                        <w:bdr w:val="none" w:sz="0" w:space="0" w:color="auto" w:frame="1"/>
                        <w:lang w:eastAsia="nl-BE"/>
                      </w:rPr>
                      <w:t>[ EN </w:t>
                    </w:r>
                    <w:proofErr w:type="spellStart"/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5BB8B2"/>
                        <w:sz w:val="21"/>
                        <w:szCs w:val="21"/>
                        <w:bdr w:val="none" w:sz="0" w:space="0" w:color="auto" w:frame="1"/>
                        <w:lang w:eastAsia="nl-BE"/>
                      </w:rPr>
                      <w:t>version</w:t>
                    </w:r>
                    <w:proofErr w:type="spellEnd"/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5BB8B2"/>
                        <w:sz w:val="21"/>
                        <w:szCs w:val="21"/>
                        <w:bdr w:val="none" w:sz="0" w:space="0" w:color="auto" w:frame="1"/>
                        <w:lang w:eastAsia="nl-BE"/>
                      </w:rPr>
                      <w:t xml:space="preserve"> </w:t>
                    </w:r>
                    <w:proofErr w:type="spellStart"/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5BB8B2"/>
                        <w:sz w:val="21"/>
                        <w:szCs w:val="21"/>
                        <w:bdr w:val="none" w:sz="0" w:space="0" w:color="auto" w:frame="1"/>
                        <w:lang w:eastAsia="nl-BE"/>
                      </w:rPr>
                      <w:t>above</w:t>
                    </w:r>
                    <w:proofErr w:type="spellEnd"/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5BB8B2"/>
                        <w:sz w:val="21"/>
                        <w:szCs w:val="21"/>
                        <w:bdr w:val="none" w:sz="0" w:space="0" w:color="auto" w:frame="1"/>
                        <w:lang w:eastAsia="nl-BE"/>
                      </w:rPr>
                      <w:t> ]</w:t>
                    </w:r>
                  </w:hyperlink>
                  <w:bookmarkStart w:id="0" w:name="x_FRVERSION"/>
                  <w:bookmarkEnd w:id="0"/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6E52D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BE"/>
                    </w:rPr>
                    <w:drawing>
                      <wp:inline distT="0" distB="0" distL="0" distR="0">
                        <wp:extent cx="617220" cy="617220"/>
                        <wp:effectExtent l="0" t="0" r="0" b="0"/>
                        <wp:docPr id="5" name="Afbeelding 5" descr="https://mcusercontent.com/d9f061061b6cca7c2a18e1c82/images/b6699d24-eea9-433c-93bb-22aeb7e5815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cusercontent.com/d9f061061b6cca7c2a18e1c82/images/b6699d24-eea9-433c-93bb-22aeb7e5815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75" w:type="dxa"/>
              <w:left w:w="270" w:type="dxa"/>
              <w:bottom w:w="7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413" w:lineRule="atLeast"/>
                    <w:jc w:val="center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obtient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pour faire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avancer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processus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33"/>
                      <w:szCs w:val="33"/>
                      <w:lang w:eastAsia="nl-BE"/>
                    </w:rPr>
                    <w:t>monétisation</w:t>
                  </w:r>
                  <w:proofErr w:type="spellEnd"/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75" w:type="dxa"/>
              <w:left w:w="270" w:type="dxa"/>
              <w:bottom w:w="7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Le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accorde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"transfert sous autorité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"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son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CDMO,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sauvegardant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ainsi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activités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et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accélérant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processus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fusion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et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d'acquisition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son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usine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développement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et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fabrication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(Contract Development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and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Manufacturing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Organization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).</w:t>
                  </w:r>
                </w:p>
                <w:p w:rsidR="006E52DB" w:rsidRPr="006E52DB" w:rsidRDefault="006E52DB" w:rsidP="006E52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Approbation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la procédure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réorganisation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Novalon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SA,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facilitant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un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accord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l'amiable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créanciers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et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restructurant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dette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l'activité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produits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thérapeutiques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complexes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fait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avancer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processus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monétisation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marquant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ainsi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étapes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importantes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dans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l'engagement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l'entreprise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maximiser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sa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valeur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pour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parties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prenantes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tout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assurant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continuité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opérationnelle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 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lastRenderedPageBreak/>
                    <w:t xml:space="preserve">Liège,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Belgique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, 22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>avril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1"/>
                      <w:szCs w:val="21"/>
                      <w:lang w:eastAsia="nl-BE"/>
                    </w:rPr>
                    <w:t xml:space="preserve"> 2024 – 07h 00 CEST</w:t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 -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 (Euronext Brussels : MITRA),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société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dédiée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la santé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féminine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annonce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aujourd'hui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que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l’entreprise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Liège 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accordé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société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deux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cruciales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qui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lui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permet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d'avancer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dans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processus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monétisation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d'assurer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continuité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activités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spacing w:after="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À la suite de 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fldChar w:fldCharType="begin"/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instrText xml:space="preserve"> HYPERLINK "https://mithra.us9.list-manage.com/track/click?u=d9f061061b6cca7c2a18e1c82&amp;id=2927cb19e6&amp;e=ba5559c97a" \t "_blank" </w:instrText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fldChar w:fldCharType="separate"/>
                  </w:r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5BB8B2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l'annonce</w:t>
                  </w:r>
                  <w:proofErr w:type="spellEnd"/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5BB8B2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 xml:space="preserve"> du 28 mars 2024</w:t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fldChar w:fldCharType="end"/>
                  </w: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 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détaillant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demande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ces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l’entreprise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Liège 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approuvé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demande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"transfert sous autorité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"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usine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développement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fabrication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située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Flémalle,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Belgique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Ce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développement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important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protège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activités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contre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créanciers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met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place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mandataires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justice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désignés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par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superviser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négociations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soumissionnaires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potentiels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L'objectif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est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sélectionner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meilleure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offre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tout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préservant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intérêts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créanciers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employés.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outre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requête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l’ouverture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d’une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procédure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réorganisation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afin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restructurer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dette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Novalon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SA,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produits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thérapeutiques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complexes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été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approuvée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par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l’entreprise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Liège.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Cette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procédure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implique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conclusion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d'un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accord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l'amiable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certains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créanciers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la mise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œuvre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d'un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plan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restructuration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dette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approuvé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par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L'objectif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est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d'assurer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stabilité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financière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Novalon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SA,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parvenir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un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accord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créanciers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sélectionnés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maintenir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continuité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opérationnelle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durée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est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deux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compter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la date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jugement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jusqu’au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19 juin 2024. La date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cible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pour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monétisation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autres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filiales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(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Estetra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SRL,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R&amp;D,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Neuralis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) et du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groupe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reste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inchangée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crédit relais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souscrit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couvrant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opérations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jusqu’au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30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avril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2024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l’option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d’une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extension dans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mai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Ces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judiciaire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marquent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étapes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importantes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dans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processus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monétisation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en cours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soulignent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l'engagement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société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maximiser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valeur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toutes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parties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prenantes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Ces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s'appliquent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aux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deux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filiales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susmentionnées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non au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groupe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.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prenant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peut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naviguer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efficacement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dans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processus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tout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donnant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la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priorité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aux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intérêts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employés,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créanciers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autres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parties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prenantes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l'entreprise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dans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son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ensemble.</w:t>
                  </w:r>
                </w:p>
                <w:p w:rsidR="006E52DB" w:rsidRPr="006E52DB" w:rsidRDefault="006E52DB" w:rsidP="006E52DB">
                  <w:pPr>
                    <w:spacing w:before="150" w:after="150" w:line="315" w:lineRule="atLeast"/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continuera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à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travailler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étroite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collaboration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avec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banques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d'investissement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engagées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conseillers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désignés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,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acheteurs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potentiels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les experts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désignés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par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le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tribunal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afin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mettre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en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œuvre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ces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mesures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protection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manière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efficace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et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d'obtenir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des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résultats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optimaux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pour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toutes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parties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prenantes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202020"/>
                      <w:sz w:val="21"/>
                      <w:szCs w:val="21"/>
                      <w:lang w:eastAsia="nl-BE"/>
                    </w:rPr>
                    <w:t>.</w:t>
                  </w: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3"/>
            </w:tblGrid>
            <w:tr w:rsidR="006E52DB" w:rsidRPr="006E52DB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</w:pPr>
                  <w:hyperlink r:id="rId8" w:tgtFrame="_blank" w:tooltip="Lire le communiqué de presse" w:history="1"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 xml:space="preserve">Lire </w:t>
                    </w:r>
                    <w:proofErr w:type="spellStart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>le</w:t>
                    </w:r>
                    <w:proofErr w:type="spellEnd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 xml:space="preserve"> communiqué de </w:t>
                    </w:r>
                    <w:proofErr w:type="spellStart"/>
                    <w:r w:rsidRPr="006E52DB">
                      <w:rPr>
                        <w:rFonts w:ascii="inherit" w:eastAsia="Times New Roman" w:hAnsi="inherit" w:cs="Helvetica"/>
                        <w:color w:val="418993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>presse</w:t>
                    </w:r>
                    <w:proofErr w:type="spellEnd"/>
                  </w:hyperlink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300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shd w:val="clear" w:color="auto" w:fill="F7F7F7"/>
            <w:tcMar>
              <w:top w:w="375" w:type="dxa"/>
              <w:left w:w="270" w:type="dxa"/>
              <w:bottom w:w="37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E52DB" w:rsidRPr="006E52DB">
              <w:tc>
                <w:tcPr>
                  <w:tcW w:w="0" w:type="auto"/>
                  <w:vAlign w:val="center"/>
                  <w:hideMark/>
                </w:tcPr>
                <w:p w:rsidR="006E52DB" w:rsidRPr="006E52DB" w:rsidRDefault="006E52DB" w:rsidP="006E5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tbl>
      <w:tblPr>
        <w:tblpPr w:leftFromText="36" w:rightFromText="36" w:vertAnchor="text"/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6E52DB" w:rsidRPr="006E52DB" w:rsidTr="006E52DB">
        <w:tc>
          <w:tcPr>
            <w:tcW w:w="0" w:type="auto"/>
            <w:hideMark/>
          </w:tcPr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pPr w:leftFromText="36" w:rightFromText="36" w:vertAnchor="text"/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6E52DB" w:rsidRPr="006E52DB" w:rsidTr="006E52DB">
        <w:tc>
          <w:tcPr>
            <w:tcW w:w="0" w:type="auto"/>
            <w:hideMark/>
          </w:tcPr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338" w:lineRule="atLeast"/>
                    <w:jc w:val="center"/>
                    <w:textAlignment w:val="baseline"/>
                    <w:rPr>
                      <w:rFonts w:ascii="Helvetica" w:eastAsia="Times New Roman" w:hAnsi="Helvetica" w:cs="Helvetica"/>
                      <w:color w:val="96D5D2"/>
                      <w:sz w:val="27"/>
                      <w:szCs w:val="27"/>
                      <w:lang w:eastAsia="nl-BE"/>
                    </w:rPr>
                  </w:pP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96D5D2"/>
                      <w:sz w:val="27"/>
                      <w:szCs w:val="27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96D5D2"/>
                      <w:sz w:val="27"/>
                      <w:szCs w:val="27"/>
                      <w:lang w:eastAsia="nl-BE"/>
                    </w:rPr>
                    <w:t xml:space="preserve"> Investor Relations</w:t>
                  </w: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300" w:lineRule="atLeast"/>
                    <w:jc w:val="center"/>
                    <w:textAlignment w:val="baseline"/>
                    <w:divId w:val="1433666758"/>
                    <w:rPr>
                      <w:rFonts w:ascii="Helvetica" w:eastAsia="Times New Roman" w:hAnsi="Helvetica" w:cs="Helvetica"/>
                      <w:color w:val="FFFFFF"/>
                      <w:sz w:val="24"/>
                      <w:szCs w:val="24"/>
                      <w:lang w:eastAsia="nl-BE"/>
                    </w:rPr>
                  </w:pPr>
                  <w:hyperlink r:id="rId9" w:history="1"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FFFFFF"/>
                        <w:sz w:val="24"/>
                        <w:szCs w:val="24"/>
                        <w:bdr w:val="none" w:sz="0" w:space="0" w:color="auto" w:frame="1"/>
                        <w:lang w:eastAsia="nl-BE"/>
                      </w:rPr>
                      <w:t>investorrelations@mithra.com</w:t>
                    </w:r>
                  </w:hyperlink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2"/>
            </w:tblGrid>
            <w:tr w:rsidR="006E52DB" w:rsidRPr="006E52D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6E52DB" w:rsidRPr="006E52D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"/>
                        </w:tblGrid>
                        <w:tr w:rsidR="006E52DB" w:rsidRPr="006E52D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6" w:rightFromText="36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6E52DB" w:rsidRPr="006E52D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E52DB" w:rsidRPr="006E52DB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35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6" w:rightFromText="36" w:vertAnchor="text"/>
                                            <w:tblW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"/>
                                          </w:tblGrid>
                                          <w:tr w:rsidR="006E52DB" w:rsidRPr="006E52DB">
                                            <w:tc>
                                              <w:tcPr>
                                                <w:tcW w:w="360" w:type="dxa"/>
                                                <w:vAlign w:val="center"/>
                                                <w:hideMark/>
                                              </w:tcPr>
                                              <w:p w:rsidR="006E52DB" w:rsidRPr="006E52DB" w:rsidRDefault="006E52DB" w:rsidP="006E52D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nl-BE"/>
                                                  </w:rPr>
                                                </w:pPr>
                                                <w:r w:rsidRPr="006E52D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nl-BE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4" name="Afbeelding 4" descr="Twitter">
                                                        <a:hlinkClick xmlns:a="http://schemas.openxmlformats.org/drawingml/2006/main" r:id="rId10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Twitter">
                                                                <a:hlinkClick r:id="rId10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E52DB" w:rsidRPr="006E52DB" w:rsidRDefault="006E52DB" w:rsidP="006E52D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52DB" w:rsidRPr="006E52DB" w:rsidRDefault="006E52DB" w:rsidP="006E52D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52DB" w:rsidRPr="006E52DB" w:rsidRDefault="006E52DB" w:rsidP="006E52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  <w:tbl>
                              <w:tblPr>
                                <w:tblpPr w:leftFromText="36" w:rightFromText="36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6E52DB" w:rsidRPr="006E52D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E52DB" w:rsidRPr="006E52DB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35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6" w:rightFromText="36" w:vertAnchor="text"/>
                                            <w:tblW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"/>
                                          </w:tblGrid>
                                          <w:tr w:rsidR="006E52DB" w:rsidRPr="006E52DB">
                                            <w:tc>
                                              <w:tcPr>
                                                <w:tcW w:w="360" w:type="dxa"/>
                                                <w:vAlign w:val="center"/>
                                                <w:hideMark/>
                                              </w:tcPr>
                                              <w:p w:rsidR="006E52DB" w:rsidRPr="006E52DB" w:rsidRDefault="006E52DB" w:rsidP="006E52D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nl-BE"/>
                                                  </w:rPr>
                                                </w:pPr>
                                                <w:r w:rsidRPr="006E52D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nl-BE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3" name="Afbeelding 3" descr="LinkedIn">
                                                        <a:hlinkClick xmlns:a="http://schemas.openxmlformats.org/drawingml/2006/main" r:id="rId12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LinkedIn">
                                                                <a:hlinkClick r:id="rId12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E52DB" w:rsidRPr="006E52DB" w:rsidRDefault="006E52DB" w:rsidP="006E52D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52DB" w:rsidRPr="006E52DB" w:rsidRDefault="006E52DB" w:rsidP="006E52D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52DB" w:rsidRPr="006E52DB" w:rsidRDefault="006E52DB" w:rsidP="006E52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  <w:tbl>
                              <w:tblPr>
                                <w:tblpPr w:leftFromText="36" w:rightFromText="36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6E52DB" w:rsidRPr="006E52D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E52DB" w:rsidRPr="006E52DB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35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6" w:rightFromText="36" w:vertAnchor="text"/>
                                            <w:tblW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"/>
                                          </w:tblGrid>
                                          <w:tr w:rsidR="006E52DB" w:rsidRPr="006E52DB">
                                            <w:tc>
                                              <w:tcPr>
                                                <w:tcW w:w="360" w:type="dxa"/>
                                                <w:vAlign w:val="center"/>
                                                <w:hideMark/>
                                              </w:tcPr>
                                              <w:p w:rsidR="006E52DB" w:rsidRPr="006E52DB" w:rsidRDefault="006E52DB" w:rsidP="006E52D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nl-BE"/>
                                                  </w:rPr>
                                                </w:pPr>
                                                <w:r w:rsidRPr="006E52D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nl-BE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2" name="Afbeelding 2" descr="Facebook">
                                                        <a:hlinkClick xmlns:a="http://schemas.openxmlformats.org/drawingml/2006/main" r:id="rId14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Facebook">
                                                                <a:hlinkClick r:id="rId14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E52DB" w:rsidRPr="006E52DB" w:rsidRDefault="006E52DB" w:rsidP="006E52D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52DB" w:rsidRPr="006E52DB" w:rsidRDefault="006E52DB" w:rsidP="006E52D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52DB" w:rsidRPr="006E52DB" w:rsidRDefault="006E52DB" w:rsidP="006E52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  <w:tbl>
                              <w:tblPr>
                                <w:tblpPr w:leftFromText="36" w:rightFromText="36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</w:tblGrid>
                              <w:tr w:rsidR="006E52DB" w:rsidRPr="006E52D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35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E52DB" w:rsidRPr="006E52DB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35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36" w:rightFromText="36" w:vertAnchor="text"/>
                                            <w:tblW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0"/>
                                          </w:tblGrid>
                                          <w:tr w:rsidR="006E52DB" w:rsidRPr="006E52DB">
                                            <w:tc>
                                              <w:tcPr>
                                                <w:tcW w:w="360" w:type="dxa"/>
                                                <w:vAlign w:val="center"/>
                                                <w:hideMark/>
                                              </w:tcPr>
                                              <w:p w:rsidR="006E52DB" w:rsidRPr="006E52DB" w:rsidRDefault="006E52DB" w:rsidP="006E52D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nl-BE"/>
                                                  </w:rPr>
                                                </w:pPr>
                                                <w:r w:rsidRPr="006E52D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nl-BE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228600" cy="228600"/>
                                                      <wp:effectExtent l="0" t="0" r="0" b="0"/>
                                                      <wp:docPr id="1" name="Afbeelding 1" descr="Website">
                                                        <a:hlinkClick xmlns:a="http://schemas.openxmlformats.org/drawingml/2006/main" r:id="rId16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Website">
                                                                <a:hlinkClick r:id="rId16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28600" cy="228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E52DB" w:rsidRPr="006E52DB" w:rsidRDefault="006E52DB" w:rsidP="006E52D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52DB" w:rsidRPr="006E52DB" w:rsidRDefault="006E52DB" w:rsidP="006E52D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52DB" w:rsidRPr="006E52DB" w:rsidRDefault="006E52DB" w:rsidP="006E52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</w:p>
                          </w:tc>
                        </w:tr>
                      </w:tbl>
                      <w:p w:rsidR="006E52DB" w:rsidRPr="006E52DB" w:rsidRDefault="006E52DB" w:rsidP="006E52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</w:tbl>
                <w:p w:rsidR="006E52DB" w:rsidRPr="006E52DB" w:rsidRDefault="006E52DB" w:rsidP="006E52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263" w:lineRule="atLeast"/>
                    <w:jc w:val="center"/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6E52DB">
                    <w:rPr>
                      <w:rFonts w:ascii="inherit" w:eastAsia="Times New Roman" w:hAnsi="inherit" w:cs="Helvetica"/>
                      <w:color w:val="FFFFFF"/>
                      <w:sz w:val="24"/>
                      <w:szCs w:val="24"/>
                      <w:bdr w:val="none" w:sz="0" w:space="0" w:color="auto" w:frame="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inherit" w:eastAsia="Times New Roman" w:hAnsi="inherit" w:cs="Helvetica"/>
                      <w:color w:val="FFFFFF"/>
                      <w:sz w:val="24"/>
                      <w:szCs w:val="24"/>
                      <w:bdr w:val="none" w:sz="0" w:space="0" w:color="auto" w:frame="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inherit" w:eastAsia="Times New Roman" w:hAnsi="inherit" w:cs="Helvetica"/>
                      <w:color w:val="FFFFFF"/>
                      <w:sz w:val="24"/>
                      <w:szCs w:val="24"/>
                      <w:bdr w:val="none" w:sz="0" w:space="0" w:color="auto" w:frame="1"/>
                      <w:lang w:eastAsia="nl-BE"/>
                    </w:rPr>
                    <w:t>Pharmaceuticals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br/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Rue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Saint-Georges 5, 4000 Liège, Belgium</w:t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br/>
                    <w:t>+32 (0)4 349 28 22</w:t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br/>
                  </w:r>
                  <w:hyperlink r:id="rId18" w:history="1">
                    <w:r w:rsidRPr="006E52DB">
                      <w:rPr>
                        <w:rFonts w:ascii="inherit" w:eastAsia="Times New Roman" w:hAnsi="inherit" w:cs="Helvetica"/>
                        <w:b/>
                        <w:bCs/>
                        <w:color w:val="FFFFFF"/>
                        <w:sz w:val="21"/>
                        <w:szCs w:val="21"/>
                        <w:bdr w:val="none" w:sz="0" w:space="0" w:color="auto" w:frame="1"/>
                        <w:lang w:eastAsia="nl-BE"/>
                      </w:rPr>
                      <w:t>info@mithra.com</w:t>
                    </w:r>
                  </w:hyperlink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6E52DB" w:rsidRPr="006E52DB" w:rsidRDefault="006E52DB" w:rsidP="006E52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E52DB" w:rsidRPr="006E52DB" w:rsidTr="006E52DB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E52DB" w:rsidRPr="006E52DB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6E52DB" w:rsidRPr="006E52DB" w:rsidRDefault="006E52DB" w:rsidP="006E52DB">
                  <w:pPr>
                    <w:spacing w:after="0" w:line="263" w:lineRule="atLeast"/>
                    <w:jc w:val="center"/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</w:pPr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 xml:space="preserve">Copyright © 2024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Mithra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Pharmaceuticals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s.a.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 xml:space="preserve">,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All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rights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reserved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i/>
                      <w:iCs/>
                      <w:color w:val="FFFFFF"/>
                      <w:sz w:val="21"/>
                      <w:szCs w:val="21"/>
                      <w:lang w:eastAsia="nl-BE"/>
                    </w:rPr>
                    <w:t>.</w:t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br/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br/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You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can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unsubscribe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from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this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list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by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 xml:space="preserve"> 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clicking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 </w:t>
                  </w:r>
                  <w:proofErr w:type="spellStart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fldChar w:fldCharType="begin"/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instrText xml:space="preserve"> HYPERLINK "https://mithra.us9.list-manage.com/unsubscribe?u=d9f061061b6cca7c2a18e1c82&amp;id=1cebd6c090&amp;t=b&amp;e=ba5559c97a&amp;c=4de3d0893c" \t "_blank" </w:instrText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fldChar w:fldCharType="separate"/>
                  </w:r>
                  <w:r w:rsidRPr="006E52DB">
                    <w:rPr>
                      <w:rFonts w:ascii="inherit" w:eastAsia="Times New Roman" w:hAnsi="inherit" w:cs="Helvetica"/>
                      <w:b/>
                      <w:bCs/>
                      <w:color w:val="FFFFFF"/>
                      <w:sz w:val="21"/>
                      <w:szCs w:val="21"/>
                      <w:bdr w:val="none" w:sz="0" w:space="0" w:color="auto" w:frame="1"/>
                      <w:lang w:eastAsia="nl-BE"/>
                    </w:rPr>
                    <w:t>here</w:t>
                  </w:r>
                  <w:proofErr w:type="spellEnd"/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fldChar w:fldCharType="end"/>
                  </w:r>
                  <w:r w:rsidRPr="006E52DB"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  <w:lang w:eastAsia="nl-BE"/>
                    </w:rPr>
                    <w:t>.</w:t>
                  </w:r>
                </w:p>
              </w:tc>
            </w:tr>
          </w:tbl>
          <w:p w:rsidR="006E52DB" w:rsidRPr="006E52DB" w:rsidRDefault="006E52DB" w:rsidP="006E5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E57DF2" w:rsidRDefault="00E57DF2">
      <w:bookmarkStart w:id="1" w:name="_GoBack"/>
      <w:bookmarkEnd w:id="1"/>
    </w:p>
    <w:sectPr w:rsidR="00E5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1272"/>
    <w:multiLevelType w:val="multilevel"/>
    <w:tmpl w:val="C43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8107C"/>
    <w:multiLevelType w:val="multilevel"/>
    <w:tmpl w:val="449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DB"/>
    <w:rsid w:val="006E52DB"/>
    <w:rsid w:val="00E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E7562-04CF-4F44-9456-0AB9F37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E5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E52DB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styleId="Zwaar">
    <w:name w:val="Strong"/>
    <w:basedOn w:val="Standaardalinea-lettertype"/>
    <w:uiPriority w:val="22"/>
    <w:qFormat/>
    <w:rsid w:val="006E52D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E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6E52DB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6E5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hra.us9.list-manage.com/track/click?u=d9f061061b6cca7c2a18e1c82&amp;id=2deac5e055&amp;e=ba5559c97a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info@mithr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thra.us9.list-manage.com/track/click?u=d9f061061b6cca7c2a18e1c82&amp;id=ff14321cc2&amp;e=ba5559c97a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mithra.us9.list-manage.com/track/click?u=d9f061061b6cca7c2a18e1c82&amp;id=0b74d48ddc&amp;e=ba5559c97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utlook.office365.com/mail/inbox/id/AAQkADRjNDFjOGI5LTcyYmUtNDIwMi04MzJkLWMwZGQ1NjVkMWZlYQAQAE%2FYsFx1VjlNv74v2neiYww%3D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mithra.us9.list-manage.com/track/click?u=d9f061061b6cca7c2a18e1c82&amp;id=b81ea18734&amp;e=ba5559c97a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mithra.us9.list-manage.com/track/click?u=d9f061061b6cca7c2a18e1c82&amp;id=a4117afe45&amp;e=ba5559c97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vestorrelations@mithra.com" TargetMode="External"/><Relationship Id="rId14" Type="http://schemas.openxmlformats.org/officeDocument/2006/relationships/hyperlink" Target="https://mithra.us9.list-manage.com/track/click?u=d9f061061b6cca7c2a18e1c82&amp;id=3921980903&amp;e=ba5559c97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1291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2024-04-22T06:21:00Z</dcterms:created>
  <dcterms:modified xsi:type="dcterms:W3CDTF">2024-04-22T06:25:00Z</dcterms:modified>
</cp:coreProperties>
</file>