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397" w:rsidRPr="002B0397" w:rsidRDefault="002B0397" w:rsidP="002B03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51515"/>
          <w:sz w:val="24"/>
          <w:szCs w:val="24"/>
          <w:lang w:eastAsia="nl-BE"/>
        </w:rPr>
      </w:pPr>
      <w:r w:rsidRPr="002B0397">
        <w:rPr>
          <w:rFonts w:ascii="Arial" w:eastAsia="Times New Roman" w:hAnsi="Arial" w:cs="Arial"/>
          <w:color w:val="151515"/>
          <w:sz w:val="24"/>
          <w:szCs w:val="24"/>
          <w:lang w:eastAsia="nl-BE"/>
        </w:rPr>
        <w:fldChar w:fldCharType="begin"/>
      </w:r>
      <w:r w:rsidRPr="002B0397">
        <w:rPr>
          <w:rFonts w:ascii="Arial" w:eastAsia="Times New Roman" w:hAnsi="Arial" w:cs="Arial"/>
          <w:color w:val="151515"/>
          <w:sz w:val="24"/>
          <w:szCs w:val="24"/>
          <w:lang w:eastAsia="nl-BE"/>
        </w:rPr>
        <w:instrText xml:space="preserve"> HYPERLINK "https://corporate.arcelormittal.com/about-us/" </w:instrText>
      </w:r>
      <w:r w:rsidRPr="002B0397">
        <w:rPr>
          <w:rFonts w:ascii="Arial" w:eastAsia="Times New Roman" w:hAnsi="Arial" w:cs="Arial"/>
          <w:color w:val="151515"/>
          <w:sz w:val="24"/>
          <w:szCs w:val="24"/>
          <w:lang w:eastAsia="nl-BE"/>
        </w:rPr>
        <w:fldChar w:fldCharType="separate"/>
      </w:r>
      <w:proofErr w:type="spellStart"/>
      <w:r w:rsidRPr="002B0397">
        <w:rPr>
          <w:rFonts w:ascii="Arial" w:eastAsia="Times New Roman" w:hAnsi="Arial" w:cs="Arial"/>
          <w:color w:val="0000FF"/>
          <w:sz w:val="23"/>
          <w:szCs w:val="23"/>
          <w:u w:val="single"/>
          <w:lang w:eastAsia="nl-BE"/>
        </w:rPr>
        <w:t>About</w:t>
      </w:r>
      <w:proofErr w:type="spellEnd"/>
      <w:r w:rsidRPr="002B0397">
        <w:rPr>
          <w:rFonts w:ascii="Arial" w:eastAsia="Times New Roman" w:hAnsi="Arial" w:cs="Arial"/>
          <w:color w:val="151515"/>
          <w:sz w:val="24"/>
          <w:szCs w:val="24"/>
          <w:lang w:eastAsia="nl-BE"/>
        </w:rPr>
        <w:fldChar w:fldCharType="end"/>
      </w:r>
    </w:p>
    <w:p w:rsidR="002B0397" w:rsidRPr="002B0397" w:rsidRDefault="002B0397" w:rsidP="002B03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51515"/>
          <w:sz w:val="24"/>
          <w:szCs w:val="24"/>
          <w:lang w:eastAsia="nl-BE"/>
        </w:rPr>
      </w:pPr>
      <w:hyperlink r:id="rId5" w:history="1">
        <w:proofErr w:type="spellStart"/>
        <w:r w:rsidRPr="002B0397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nl-BE"/>
          </w:rPr>
          <w:t>Climate</w:t>
        </w:r>
        <w:proofErr w:type="spellEnd"/>
        <w:r w:rsidRPr="002B0397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nl-BE"/>
          </w:rPr>
          <w:t xml:space="preserve"> action</w:t>
        </w:r>
      </w:hyperlink>
    </w:p>
    <w:p w:rsidR="002B0397" w:rsidRPr="002B0397" w:rsidRDefault="002B0397" w:rsidP="002B03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51515"/>
          <w:sz w:val="24"/>
          <w:szCs w:val="24"/>
          <w:lang w:eastAsia="nl-BE"/>
        </w:rPr>
      </w:pPr>
      <w:hyperlink r:id="rId6" w:history="1">
        <w:proofErr w:type="spellStart"/>
        <w:r w:rsidRPr="002B0397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nl-BE"/>
          </w:rPr>
          <w:t>Smarter</w:t>
        </w:r>
        <w:proofErr w:type="spellEnd"/>
        <w:r w:rsidRPr="002B0397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nl-BE"/>
          </w:rPr>
          <w:t xml:space="preserve"> </w:t>
        </w:r>
        <w:proofErr w:type="spellStart"/>
        <w:r w:rsidRPr="002B0397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nl-BE"/>
          </w:rPr>
          <w:t>Future</w:t>
        </w:r>
        <w:proofErr w:type="spellEnd"/>
      </w:hyperlink>
    </w:p>
    <w:p w:rsidR="002B0397" w:rsidRPr="002B0397" w:rsidRDefault="002B0397" w:rsidP="002B03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51515"/>
          <w:sz w:val="24"/>
          <w:szCs w:val="24"/>
          <w:lang w:eastAsia="nl-BE"/>
        </w:rPr>
      </w:pPr>
      <w:hyperlink r:id="rId7" w:history="1">
        <w:r w:rsidRPr="002B0397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nl-BE"/>
          </w:rPr>
          <w:t>Industries</w:t>
        </w:r>
      </w:hyperlink>
    </w:p>
    <w:p w:rsidR="002B0397" w:rsidRPr="002B0397" w:rsidRDefault="002B0397" w:rsidP="002B03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51515"/>
          <w:sz w:val="24"/>
          <w:szCs w:val="24"/>
          <w:lang w:eastAsia="nl-BE"/>
        </w:rPr>
      </w:pPr>
      <w:hyperlink r:id="rId8" w:history="1">
        <w:proofErr w:type="spellStart"/>
        <w:r w:rsidRPr="002B0397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nl-BE"/>
          </w:rPr>
          <w:t>Investors</w:t>
        </w:r>
        <w:proofErr w:type="spellEnd"/>
      </w:hyperlink>
    </w:p>
    <w:p w:rsidR="002B0397" w:rsidRPr="002B0397" w:rsidRDefault="002B0397" w:rsidP="002B03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51515"/>
          <w:sz w:val="24"/>
          <w:szCs w:val="24"/>
          <w:lang w:eastAsia="nl-BE"/>
        </w:rPr>
      </w:pPr>
      <w:hyperlink r:id="rId9" w:history="1">
        <w:proofErr w:type="spellStart"/>
        <w:r w:rsidRPr="002B0397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nl-BE"/>
          </w:rPr>
          <w:t>Sustainability</w:t>
        </w:r>
        <w:proofErr w:type="spellEnd"/>
      </w:hyperlink>
    </w:p>
    <w:p w:rsidR="002B0397" w:rsidRPr="002B0397" w:rsidRDefault="002B0397" w:rsidP="002B03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51515"/>
          <w:sz w:val="24"/>
          <w:szCs w:val="24"/>
          <w:lang w:eastAsia="nl-BE"/>
        </w:rPr>
      </w:pPr>
      <w:hyperlink r:id="rId10" w:history="1">
        <w:proofErr w:type="spellStart"/>
        <w:r w:rsidRPr="002B0397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nl-BE"/>
          </w:rPr>
          <w:t>Careers</w:t>
        </w:r>
        <w:proofErr w:type="spellEnd"/>
      </w:hyperlink>
    </w:p>
    <w:p w:rsidR="002B0397" w:rsidRPr="002B0397" w:rsidRDefault="002B0397" w:rsidP="002B03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51515"/>
          <w:sz w:val="24"/>
          <w:szCs w:val="24"/>
          <w:lang w:eastAsia="nl-BE"/>
        </w:rPr>
      </w:pPr>
      <w:hyperlink r:id="rId11" w:history="1">
        <w:r w:rsidRPr="002B0397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nl-BE"/>
          </w:rPr>
          <w:t>Media</w:t>
        </w:r>
      </w:hyperlink>
    </w:p>
    <w:p w:rsidR="002B0397" w:rsidRPr="002B0397" w:rsidRDefault="002B0397" w:rsidP="002B0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nl-BE"/>
        </w:rPr>
      </w:pPr>
      <w:r w:rsidRPr="002B0397">
        <w:rPr>
          <w:rFonts w:ascii="Times New Roman" w:eastAsia="Times New Roman" w:hAnsi="Times New Roman" w:cs="Times New Roman"/>
          <w:color w:val="151515"/>
          <w:sz w:val="24"/>
          <w:szCs w:val="24"/>
          <w:lang w:eastAsia="nl-B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.6pt;height:18pt" o:ole="">
            <v:imagedata r:id="rId12" o:title=""/>
          </v:shape>
          <w:control r:id="rId13" w:name="DefaultOcxName" w:shapeid="_x0000_i1031"/>
        </w:object>
      </w:r>
    </w:p>
    <w:p w:rsidR="002B0397" w:rsidRPr="002B0397" w:rsidRDefault="002B0397" w:rsidP="002B0397">
      <w:pPr>
        <w:shd w:val="clear" w:color="auto" w:fill="FFFFFF"/>
        <w:spacing w:after="0" w:line="240" w:lineRule="auto"/>
        <w:ind w:right="480"/>
        <w:rPr>
          <w:rFonts w:ascii="Times New Roman" w:eastAsia="Times New Roman" w:hAnsi="Times New Roman" w:cs="Times New Roman"/>
          <w:color w:val="0000FF"/>
          <w:sz w:val="24"/>
          <w:szCs w:val="24"/>
          <w:lang w:eastAsia="nl-BE"/>
        </w:rPr>
      </w:pPr>
      <w:r w:rsidRPr="002B0397">
        <w:rPr>
          <w:rFonts w:ascii="Times New Roman" w:eastAsia="Times New Roman" w:hAnsi="Times New Roman" w:cs="Times New Roman"/>
          <w:color w:val="151515"/>
          <w:sz w:val="24"/>
          <w:szCs w:val="24"/>
          <w:lang w:eastAsia="nl-BE"/>
        </w:rPr>
        <w:fldChar w:fldCharType="begin"/>
      </w:r>
      <w:r w:rsidRPr="002B0397">
        <w:rPr>
          <w:rFonts w:ascii="Times New Roman" w:eastAsia="Times New Roman" w:hAnsi="Times New Roman" w:cs="Times New Roman"/>
          <w:color w:val="151515"/>
          <w:sz w:val="24"/>
          <w:szCs w:val="24"/>
          <w:lang w:eastAsia="nl-BE"/>
        </w:rPr>
        <w:instrText xml:space="preserve"> HYPERLINK "https://corporate.arcelormittal.com/investors/" </w:instrText>
      </w:r>
      <w:r w:rsidRPr="002B0397">
        <w:rPr>
          <w:rFonts w:ascii="Times New Roman" w:eastAsia="Times New Roman" w:hAnsi="Times New Roman" w:cs="Times New Roman"/>
          <w:color w:val="151515"/>
          <w:sz w:val="24"/>
          <w:szCs w:val="24"/>
          <w:lang w:eastAsia="nl-BE"/>
        </w:rPr>
        <w:fldChar w:fldCharType="separate"/>
      </w:r>
    </w:p>
    <w:p w:rsidR="002B0397" w:rsidRPr="002B0397" w:rsidRDefault="002B0397" w:rsidP="002B0397">
      <w:pPr>
        <w:shd w:val="clear" w:color="auto" w:fill="FFFFFF"/>
        <w:spacing w:after="75" w:line="240" w:lineRule="auto"/>
        <w:ind w:right="555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2B0397">
        <w:rPr>
          <w:rFonts w:ascii="Times New Roman" w:eastAsia="Times New Roman" w:hAnsi="Times New Roman" w:cs="Times New Roman"/>
          <w:color w:val="0000FF"/>
          <w:sz w:val="24"/>
          <w:szCs w:val="24"/>
          <w:lang w:eastAsia="nl-BE"/>
        </w:rPr>
        <w:t>MT:NA</w:t>
      </w:r>
    </w:p>
    <w:p w:rsidR="002B0397" w:rsidRPr="002B0397" w:rsidRDefault="002B0397" w:rsidP="002B0397">
      <w:pPr>
        <w:shd w:val="clear" w:color="auto" w:fill="FFFFFF"/>
        <w:spacing w:after="0" w:line="240" w:lineRule="auto"/>
        <w:ind w:right="480"/>
        <w:rPr>
          <w:rFonts w:ascii="Times New Roman" w:eastAsia="Times New Roman" w:hAnsi="Times New Roman" w:cs="Times New Roman"/>
          <w:color w:val="0000FF"/>
          <w:sz w:val="24"/>
          <w:szCs w:val="24"/>
          <w:lang w:eastAsia="nl-BE"/>
        </w:rPr>
      </w:pPr>
      <w:r w:rsidRPr="002B0397">
        <w:rPr>
          <w:rFonts w:ascii="Segoe UI Symbol" w:eastAsia="Times New Roman" w:hAnsi="Segoe UI Symbol" w:cs="Times New Roman"/>
          <w:color w:val="0000FF"/>
          <w:sz w:val="24"/>
          <w:szCs w:val="24"/>
          <w:lang w:eastAsia="nl-BE"/>
        </w:rPr>
        <w:t>↙</w:t>
      </w:r>
    </w:p>
    <w:p w:rsidR="002B0397" w:rsidRPr="002B0397" w:rsidRDefault="002B0397" w:rsidP="002B0397">
      <w:pPr>
        <w:shd w:val="clear" w:color="auto" w:fill="FFFFFF"/>
        <w:spacing w:after="75" w:line="240" w:lineRule="auto"/>
        <w:ind w:right="480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2B0397">
        <w:rPr>
          <w:rFonts w:ascii="Times New Roman" w:eastAsia="Times New Roman" w:hAnsi="Times New Roman" w:cs="Times New Roman"/>
          <w:color w:val="0000FF"/>
          <w:sz w:val="24"/>
          <w:szCs w:val="24"/>
          <w:lang w:eastAsia="nl-BE"/>
        </w:rPr>
        <w:t>€23.54</w:t>
      </w:r>
    </w:p>
    <w:p w:rsidR="002B0397" w:rsidRPr="002B0397" w:rsidRDefault="002B0397" w:rsidP="002B0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nl-BE"/>
        </w:rPr>
      </w:pPr>
      <w:r w:rsidRPr="002B0397">
        <w:rPr>
          <w:rFonts w:ascii="Times New Roman" w:eastAsia="Times New Roman" w:hAnsi="Times New Roman" w:cs="Times New Roman"/>
          <w:color w:val="151515"/>
          <w:sz w:val="24"/>
          <w:szCs w:val="24"/>
          <w:lang w:eastAsia="nl-BE"/>
        </w:rPr>
        <w:fldChar w:fldCharType="end"/>
      </w:r>
    </w:p>
    <w:p w:rsidR="002B0397" w:rsidRPr="002B0397" w:rsidRDefault="002B0397" w:rsidP="002B0397">
      <w:pPr>
        <w:shd w:val="clear" w:color="auto" w:fill="000000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nl-BE"/>
        </w:rPr>
      </w:pPr>
      <w:r w:rsidRPr="002B0397">
        <w:rPr>
          <w:rFonts w:ascii="Times New Roman" w:eastAsia="Times New Roman" w:hAnsi="Times New Roman" w:cs="Times New Roman"/>
          <w:noProof/>
          <w:color w:val="FFFFFF"/>
          <w:sz w:val="24"/>
          <w:szCs w:val="24"/>
          <w:lang w:eastAsia="nl-BE"/>
        </w:rPr>
        <w:lastRenderedPageBreak/>
        <w:drawing>
          <wp:inline distT="0" distB="0" distL="0" distR="0">
            <wp:extent cx="17145000" cy="6858000"/>
            <wp:effectExtent l="0" t="0" r="0" b="0"/>
            <wp:docPr id="2" name="Afbeelding 2" descr="https://corporate.arcelormittal.com/media/1tofqe0l/mmp_4010.jpg?crop=0,0.20005001250312576,0,0.19979994998749689&amp;cropmode=percentage&amp;width=1800&amp;height=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porate.arcelormittal.com/media/1tofqe0l/mmp_4010.jpg?crop=0,0.20005001250312576,0,0.19979994998749689&amp;cropmode=percentage&amp;width=1800&amp;height=7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397" w:rsidRPr="002B0397" w:rsidRDefault="002B0397" w:rsidP="002B0397">
      <w:pPr>
        <w:shd w:val="clear" w:color="auto" w:fill="000000"/>
        <w:spacing w:before="150" w:after="150" w:line="240" w:lineRule="auto"/>
        <w:rPr>
          <w:rFonts w:ascii="Times New Roman" w:eastAsia="Times New Roman" w:hAnsi="Times New Roman" w:cs="Times New Roman"/>
          <w:color w:val="FFFFFF"/>
          <w:sz w:val="32"/>
          <w:szCs w:val="32"/>
          <w:lang w:eastAsia="nl-BE"/>
        </w:rPr>
      </w:pPr>
      <w:r w:rsidRPr="002B0397">
        <w:rPr>
          <w:rFonts w:ascii="Times New Roman" w:eastAsia="Times New Roman" w:hAnsi="Times New Roman" w:cs="Times New Roman"/>
          <w:color w:val="FFFFFF"/>
          <w:sz w:val="32"/>
          <w:szCs w:val="32"/>
          <w:lang w:eastAsia="nl-BE"/>
        </w:rPr>
        <w:t>26 April 2024 12:00 CET</w:t>
      </w:r>
    </w:p>
    <w:p w:rsidR="002B0397" w:rsidRPr="002B0397" w:rsidRDefault="002B0397" w:rsidP="002B0397">
      <w:pPr>
        <w:shd w:val="clear" w:color="auto" w:fill="000000"/>
        <w:spacing w:before="300" w:after="300" w:line="240" w:lineRule="auto"/>
        <w:outlineLvl w:val="0"/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</w:pPr>
      <w:proofErr w:type="spellStart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t>ArcelorMittal</w:t>
      </w:r>
      <w:proofErr w:type="spellEnd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t>announces</w:t>
      </w:r>
      <w:proofErr w:type="spellEnd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t>the</w:t>
      </w:r>
      <w:proofErr w:type="spellEnd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t>publication</w:t>
      </w:r>
      <w:proofErr w:type="spellEnd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t xml:space="preserve"> of </w:t>
      </w:r>
      <w:proofErr w:type="spellStart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t>its</w:t>
      </w:r>
      <w:proofErr w:type="spellEnd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t xml:space="preserve"> first </w:t>
      </w:r>
      <w:proofErr w:type="spellStart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lastRenderedPageBreak/>
        <w:t>quarter</w:t>
      </w:r>
      <w:proofErr w:type="spellEnd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t xml:space="preserve"> 2024 </w:t>
      </w:r>
      <w:proofErr w:type="spellStart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t>sell</w:t>
      </w:r>
      <w:proofErr w:type="spellEnd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t xml:space="preserve">-side </w:t>
      </w:r>
      <w:proofErr w:type="spellStart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t>analyst</w:t>
      </w:r>
      <w:proofErr w:type="spellEnd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t xml:space="preserve"> consensus </w:t>
      </w:r>
      <w:proofErr w:type="spellStart"/>
      <w:r w:rsidRPr="002B0397">
        <w:rPr>
          <w:rFonts w:ascii="Arial" w:eastAsia="Times New Roman" w:hAnsi="Arial" w:cs="Arial"/>
          <w:b/>
          <w:bCs/>
          <w:color w:val="FFFFFF"/>
          <w:spacing w:val="-8"/>
          <w:kern w:val="36"/>
          <w:sz w:val="75"/>
          <w:szCs w:val="75"/>
          <w:lang w:eastAsia="nl-BE"/>
        </w:rPr>
        <w:t>figures</w:t>
      </w:r>
      <w:proofErr w:type="spellEnd"/>
    </w:p>
    <w:p w:rsidR="002B0397" w:rsidRPr="002B0397" w:rsidRDefault="002B0397" w:rsidP="002B039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15" w:history="1">
        <w:r w:rsidRPr="002B039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nl-BE"/>
          </w:rPr>
          <w:t>Homepage</w:t>
        </w:r>
      </w:hyperlink>
      <w:r w:rsidRPr="002B0397">
        <w:rPr>
          <w:rFonts w:ascii="Times New Roman" w:eastAsia="Times New Roman" w:hAnsi="Times New Roman" w:cs="Times New Roman"/>
          <w:sz w:val="24"/>
          <w:szCs w:val="24"/>
          <w:lang w:eastAsia="nl-BE"/>
        </w:rPr>
        <w:t> </w:t>
      </w:r>
      <w:r w:rsidRPr="002B0397">
        <w:rPr>
          <w:rFonts w:ascii="Times New Roman" w:eastAsia="Times New Roman" w:hAnsi="Times New Roman" w:cs="Times New Roman"/>
          <w:color w:val="FF3700"/>
          <w:sz w:val="21"/>
          <w:szCs w:val="21"/>
          <w:lang w:eastAsia="nl-BE"/>
        </w:rPr>
        <w:t>/</w:t>
      </w:r>
    </w:p>
    <w:p w:rsidR="002B0397" w:rsidRPr="002B0397" w:rsidRDefault="002B0397" w:rsidP="002B039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16" w:history="1">
        <w:r w:rsidRPr="002B039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nl-BE"/>
          </w:rPr>
          <w:t>Media</w:t>
        </w:r>
      </w:hyperlink>
      <w:r w:rsidRPr="002B0397">
        <w:rPr>
          <w:rFonts w:ascii="Times New Roman" w:eastAsia="Times New Roman" w:hAnsi="Times New Roman" w:cs="Times New Roman"/>
          <w:sz w:val="24"/>
          <w:szCs w:val="24"/>
          <w:lang w:eastAsia="nl-BE"/>
        </w:rPr>
        <w:t> </w:t>
      </w:r>
      <w:r w:rsidRPr="002B0397">
        <w:rPr>
          <w:rFonts w:ascii="Times New Roman" w:eastAsia="Times New Roman" w:hAnsi="Times New Roman" w:cs="Times New Roman"/>
          <w:color w:val="FF3700"/>
          <w:sz w:val="21"/>
          <w:szCs w:val="21"/>
          <w:lang w:eastAsia="nl-BE"/>
        </w:rPr>
        <w:t>/</w:t>
      </w:r>
    </w:p>
    <w:p w:rsidR="002B0397" w:rsidRPr="002B0397" w:rsidRDefault="002B0397" w:rsidP="002B0397">
      <w:pPr>
        <w:numPr>
          <w:ilvl w:val="0"/>
          <w:numId w:val="2"/>
        </w:numPr>
        <w:spacing w:before="45" w:after="45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17" w:history="1">
        <w:r w:rsidRPr="002B039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nl-BE"/>
          </w:rPr>
          <w:t>Press Releases</w:t>
        </w:r>
      </w:hyperlink>
    </w:p>
    <w:p w:rsidR="002B0397" w:rsidRPr="002B0397" w:rsidRDefault="002B0397" w:rsidP="002B0397">
      <w:pPr>
        <w:spacing w:before="150" w:after="480" w:line="240" w:lineRule="auto"/>
        <w:rPr>
          <w:rFonts w:ascii="Arial" w:eastAsia="Times New Roman" w:hAnsi="Arial" w:cs="Arial"/>
          <w:sz w:val="42"/>
          <w:szCs w:val="42"/>
          <w:lang w:eastAsia="nl-BE"/>
        </w:rPr>
      </w:pPr>
      <w:proofErr w:type="spellStart"/>
      <w:r w:rsidRPr="002B0397">
        <w:rPr>
          <w:rFonts w:ascii="Arial" w:eastAsia="Times New Roman" w:hAnsi="Arial" w:cs="Arial"/>
          <w:sz w:val="42"/>
          <w:szCs w:val="42"/>
          <w:lang w:eastAsia="nl-BE"/>
        </w:rPr>
        <w:t>ArcelorMittal</w:t>
      </w:r>
      <w:proofErr w:type="spellEnd"/>
      <w:r w:rsidRPr="002B0397">
        <w:rPr>
          <w:rFonts w:ascii="Arial" w:eastAsia="Times New Roman" w:hAnsi="Arial" w:cs="Arial"/>
          <w:sz w:val="42"/>
          <w:szCs w:val="42"/>
          <w:lang w:eastAsia="nl-BE"/>
        </w:rPr>
        <w:t xml:space="preserve"> (‘</w:t>
      </w:r>
      <w:proofErr w:type="spellStart"/>
      <w:r w:rsidRPr="002B0397">
        <w:rPr>
          <w:rFonts w:ascii="Arial" w:eastAsia="Times New Roman" w:hAnsi="Arial" w:cs="Arial"/>
          <w:sz w:val="42"/>
          <w:szCs w:val="42"/>
          <w:lang w:eastAsia="nl-BE"/>
        </w:rPr>
        <w:t>the</w:t>
      </w:r>
      <w:proofErr w:type="spellEnd"/>
      <w:r w:rsidRPr="002B0397">
        <w:rPr>
          <w:rFonts w:ascii="Arial" w:eastAsia="Times New Roman" w:hAnsi="Arial" w:cs="Arial"/>
          <w:sz w:val="42"/>
          <w:szCs w:val="42"/>
          <w:lang w:eastAsia="nl-BE"/>
        </w:rPr>
        <w:t xml:space="preserve"> Company’) </w:t>
      </w:r>
      <w:proofErr w:type="spellStart"/>
      <w:r w:rsidRPr="002B0397">
        <w:rPr>
          <w:rFonts w:ascii="Arial" w:eastAsia="Times New Roman" w:hAnsi="Arial" w:cs="Arial"/>
          <w:sz w:val="42"/>
          <w:szCs w:val="42"/>
          <w:lang w:eastAsia="nl-BE"/>
        </w:rPr>
        <w:t>today</w:t>
      </w:r>
      <w:proofErr w:type="spellEnd"/>
      <w:r w:rsidRPr="002B039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42"/>
          <w:szCs w:val="42"/>
          <w:lang w:eastAsia="nl-BE"/>
        </w:rPr>
        <w:t>announces</w:t>
      </w:r>
      <w:proofErr w:type="spellEnd"/>
      <w:r w:rsidRPr="002B039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42"/>
          <w:szCs w:val="42"/>
          <w:lang w:eastAsia="nl-BE"/>
        </w:rPr>
        <w:t>the</w:t>
      </w:r>
      <w:proofErr w:type="spellEnd"/>
      <w:r w:rsidRPr="002B0397">
        <w:rPr>
          <w:rFonts w:ascii="Arial" w:eastAsia="Times New Roman" w:hAnsi="Arial" w:cs="Arial"/>
          <w:sz w:val="42"/>
          <w:szCs w:val="42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42"/>
          <w:szCs w:val="42"/>
          <w:lang w:eastAsia="nl-BE"/>
        </w:rPr>
        <w:t>publication</w:t>
      </w:r>
      <w:proofErr w:type="spellEnd"/>
      <w:r w:rsidRPr="002B0397">
        <w:rPr>
          <w:rFonts w:ascii="Arial" w:eastAsia="Times New Roman" w:hAnsi="Arial" w:cs="Arial"/>
          <w:sz w:val="42"/>
          <w:szCs w:val="42"/>
          <w:lang w:eastAsia="nl-BE"/>
        </w:rPr>
        <w:t xml:space="preserve"> of </w:t>
      </w:r>
      <w:proofErr w:type="spellStart"/>
      <w:r w:rsidRPr="002B0397">
        <w:rPr>
          <w:rFonts w:ascii="Arial" w:eastAsia="Times New Roman" w:hAnsi="Arial" w:cs="Arial"/>
          <w:sz w:val="42"/>
          <w:szCs w:val="42"/>
          <w:lang w:eastAsia="nl-BE"/>
        </w:rPr>
        <w:t>its</w:t>
      </w:r>
      <w:proofErr w:type="spellEnd"/>
      <w:r w:rsidRPr="002B0397">
        <w:rPr>
          <w:rFonts w:ascii="Arial" w:eastAsia="Times New Roman" w:hAnsi="Arial" w:cs="Arial"/>
          <w:sz w:val="42"/>
          <w:szCs w:val="42"/>
          <w:lang w:eastAsia="nl-BE"/>
        </w:rPr>
        <w:t xml:space="preserve"> first </w:t>
      </w:r>
      <w:proofErr w:type="spellStart"/>
      <w:r w:rsidRPr="002B0397">
        <w:rPr>
          <w:rFonts w:ascii="Arial" w:eastAsia="Times New Roman" w:hAnsi="Arial" w:cs="Arial"/>
          <w:sz w:val="42"/>
          <w:szCs w:val="42"/>
          <w:lang w:eastAsia="nl-BE"/>
        </w:rPr>
        <w:t>quarter</w:t>
      </w:r>
      <w:proofErr w:type="spellEnd"/>
      <w:r w:rsidRPr="002B0397">
        <w:rPr>
          <w:rFonts w:ascii="Arial" w:eastAsia="Times New Roman" w:hAnsi="Arial" w:cs="Arial"/>
          <w:sz w:val="42"/>
          <w:szCs w:val="42"/>
          <w:lang w:eastAsia="nl-BE"/>
        </w:rPr>
        <w:t xml:space="preserve"> 2024 </w:t>
      </w:r>
      <w:proofErr w:type="spellStart"/>
      <w:r w:rsidRPr="002B0397">
        <w:rPr>
          <w:rFonts w:ascii="Arial" w:eastAsia="Times New Roman" w:hAnsi="Arial" w:cs="Arial"/>
          <w:sz w:val="42"/>
          <w:szCs w:val="42"/>
          <w:lang w:eastAsia="nl-BE"/>
        </w:rPr>
        <w:t>sell</w:t>
      </w:r>
      <w:proofErr w:type="spellEnd"/>
      <w:r w:rsidRPr="002B0397">
        <w:rPr>
          <w:rFonts w:ascii="Arial" w:eastAsia="Times New Roman" w:hAnsi="Arial" w:cs="Arial"/>
          <w:sz w:val="42"/>
          <w:szCs w:val="42"/>
          <w:lang w:eastAsia="nl-BE"/>
        </w:rPr>
        <w:t xml:space="preserve">-side </w:t>
      </w:r>
      <w:proofErr w:type="spellStart"/>
      <w:r w:rsidRPr="002B0397">
        <w:rPr>
          <w:rFonts w:ascii="Arial" w:eastAsia="Times New Roman" w:hAnsi="Arial" w:cs="Arial"/>
          <w:sz w:val="42"/>
          <w:szCs w:val="42"/>
          <w:lang w:eastAsia="nl-BE"/>
        </w:rPr>
        <w:t>analyst</w:t>
      </w:r>
      <w:proofErr w:type="spellEnd"/>
      <w:r w:rsidRPr="002B0397">
        <w:rPr>
          <w:rFonts w:ascii="Arial" w:eastAsia="Times New Roman" w:hAnsi="Arial" w:cs="Arial"/>
          <w:sz w:val="42"/>
          <w:szCs w:val="42"/>
          <w:lang w:eastAsia="nl-BE"/>
        </w:rPr>
        <w:t xml:space="preserve"> consensus </w:t>
      </w:r>
      <w:proofErr w:type="spellStart"/>
      <w:r w:rsidRPr="002B0397">
        <w:rPr>
          <w:rFonts w:ascii="Arial" w:eastAsia="Times New Roman" w:hAnsi="Arial" w:cs="Arial"/>
          <w:sz w:val="42"/>
          <w:szCs w:val="42"/>
          <w:lang w:eastAsia="nl-BE"/>
        </w:rPr>
        <w:t>figures</w:t>
      </w:r>
      <w:proofErr w:type="spellEnd"/>
      <w:r w:rsidRPr="002B0397">
        <w:rPr>
          <w:rFonts w:ascii="Arial" w:eastAsia="Times New Roman" w:hAnsi="Arial" w:cs="Arial"/>
          <w:sz w:val="42"/>
          <w:szCs w:val="42"/>
          <w:lang w:eastAsia="nl-BE"/>
        </w:rPr>
        <w:t>.</w:t>
      </w:r>
    </w:p>
    <w:p w:rsidR="002B0397" w:rsidRPr="002B0397" w:rsidRDefault="002B0397" w:rsidP="002B039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The consensus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figures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are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based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on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analysts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’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estimates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recorded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on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external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web-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based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tool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provided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managed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independent company,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Visible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Alpha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.</w:t>
      </w:r>
    </w:p>
    <w:p w:rsidR="002B0397" w:rsidRPr="002B0397" w:rsidRDefault="002B0397" w:rsidP="002B039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arrive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at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consensus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figures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below,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Visible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Alpha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has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aggregated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expectations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sell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-side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analysts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who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best of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our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knowledge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cover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on a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continuous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basis.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Sell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-side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analysts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follow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on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their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own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initiative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not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responsible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for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their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views.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neither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involved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collection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information nor in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compilation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estimates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.</w:t>
      </w:r>
    </w:p>
    <w:p w:rsidR="002B0397" w:rsidRPr="002B0397" w:rsidRDefault="002B0397" w:rsidP="002B039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 </w:t>
      </w:r>
    </w:p>
    <w:p w:rsidR="002B0397" w:rsidRPr="002B0397" w:rsidRDefault="002B0397" w:rsidP="002B039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2B0397">
        <w:rPr>
          <w:rFonts w:ascii="Times New Roman" w:eastAsia="Times New Roman" w:hAnsi="Times New Roman" w:cs="Times New Roman"/>
          <w:b/>
          <w:bCs/>
          <w:sz w:val="32"/>
          <w:szCs w:val="32"/>
          <w:lang w:eastAsia="nl-BE"/>
        </w:rPr>
        <w:t xml:space="preserve">1Q’24 consensus </w:t>
      </w:r>
      <w:proofErr w:type="spellStart"/>
      <w:r w:rsidRPr="002B0397">
        <w:rPr>
          <w:rFonts w:ascii="Times New Roman" w:eastAsia="Times New Roman" w:hAnsi="Times New Roman" w:cs="Times New Roman"/>
          <w:b/>
          <w:bCs/>
          <w:sz w:val="32"/>
          <w:szCs w:val="32"/>
          <w:lang w:eastAsia="nl-BE"/>
        </w:rPr>
        <w:t>estimates</w:t>
      </w:r>
      <w:proofErr w:type="spellEnd"/>
      <w:r w:rsidRPr="002B0397">
        <w:rPr>
          <w:rFonts w:ascii="Times New Roman" w:eastAsia="Times New Roman" w:hAnsi="Times New Roman" w:cs="Times New Roman"/>
          <w:b/>
          <w:bCs/>
          <w:sz w:val="32"/>
          <w:szCs w:val="32"/>
          <w:lang w:eastAsia="nl-BE"/>
        </w:rPr>
        <w:t>*:</w:t>
      </w:r>
    </w:p>
    <w:p w:rsidR="002B0397" w:rsidRPr="002B0397" w:rsidRDefault="002B0397" w:rsidP="002B039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2B0397">
        <w:rPr>
          <w:rFonts w:ascii="Times New Roman" w:eastAsia="Times New Roman" w:hAnsi="Times New Roman" w:cs="Times New Roman"/>
          <w:b/>
          <w:bCs/>
          <w:sz w:val="32"/>
          <w:szCs w:val="32"/>
          <w:lang w:eastAsia="nl-BE"/>
        </w:rPr>
        <w:t>                                                            1Q’24                          </w:t>
      </w:r>
    </w:p>
    <w:p w:rsidR="002B0397" w:rsidRPr="002B0397" w:rsidRDefault="002B0397" w:rsidP="002B0397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EBITDA ($m)                                  $1,814                         </w:t>
      </w:r>
    </w:p>
    <w:p w:rsidR="002B0397" w:rsidRPr="002B0397" w:rsidRDefault="002B0397" w:rsidP="002B0397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Net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income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($m)                          $733    </w:t>
      </w:r>
    </w:p>
    <w:p w:rsidR="002B0397" w:rsidRPr="002B0397" w:rsidRDefault="002B0397" w:rsidP="002B0397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lastRenderedPageBreak/>
        <w:t>Earnings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per share ($)                 $0.91                           </w:t>
      </w:r>
    </w:p>
    <w:p w:rsidR="002B0397" w:rsidRPr="002B0397" w:rsidRDefault="002B0397" w:rsidP="002B039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*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Number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sell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-side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analyst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participation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is 6 brokers (i.e.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those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who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have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updated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estimates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Visible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Alphas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reflected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Groups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new EBITDA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definition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reportable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segmentation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).</w:t>
      </w:r>
    </w:p>
    <w:p w:rsidR="002B0397" w:rsidRPr="002B0397" w:rsidRDefault="002B0397" w:rsidP="002B039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2B0397">
        <w:rPr>
          <w:rFonts w:ascii="Times New Roman" w:eastAsia="Times New Roman" w:hAnsi="Times New Roman" w:cs="Times New Roman"/>
          <w:b/>
          <w:bCs/>
          <w:sz w:val="32"/>
          <w:szCs w:val="32"/>
          <w:lang w:eastAsia="nl-BE"/>
        </w:rPr>
        <w:t xml:space="preserve">2023 </w:t>
      </w:r>
      <w:proofErr w:type="spellStart"/>
      <w:r w:rsidRPr="002B0397">
        <w:rPr>
          <w:rFonts w:ascii="Times New Roman" w:eastAsia="Times New Roman" w:hAnsi="Times New Roman" w:cs="Times New Roman"/>
          <w:b/>
          <w:bCs/>
          <w:sz w:val="32"/>
          <w:szCs w:val="32"/>
          <w:lang w:eastAsia="nl-BE"/>
        </w:rPr>
        <w:t>Factbook</w:t>
      </w:r>
      <w:proofErr w:type="spellEnd"/>
      <w:r w:rsidRPr="002B0397">
        <w:rPr>
          <w:rFonts w:ascii="Times New Roman" w:eastAsia="Times New Roman" w:hAnsi="Times New Roman" w:cs="Times New Roman"/>
          <w:b/>
          <w:bCs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b/>
          <w:bCs/>
          <w:sz w:val="32"/>
          <w:szCs w:val="32"/>
          <w:lang w:eastAsia="nl-BE"/>
        </w:rPr>
        <w:t>published</w:t>
      </w:r>
      <w:proofErr w:type="spellEnd"/>
    </w:p>
    <w:p w:rsidR="002B0397" w:rsidRPr="002B0397" w:rsidRDefault="002B0397" w:rsidP="002B039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The Company has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filed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its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2023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Factbook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reflecting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presentation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reportable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segments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EBITDA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for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following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periods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where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applicable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: FY 2021, FY 2022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FY 2023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quarters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2022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2023.</w:t>
      </w:r>
    </w:p>
    <w:p w:rsidR="002B0397" w:rsidRPr="002B0397" w:rsidRDefault="002B0397" w:rsidP="002B039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Company’s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published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2023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Factbook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can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viewed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 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fldChar w:fldCharType="begin"/>
      </w:r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instrText xml:space="preserve"> HYPERLINK "https://corporate.arcelormittal.com/corporate-library/reporting-hub?type=Fact%20book" </w:instrText>
      </w:r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fldChar w:fldCharType="separate"/>
      </w:r>
      <w:r w:rsidRPr="002B0397">
        <w:rPr>
          <w:rFonts w:ascii="inherit" w:eastAsia="Times New Roman" w:hAnsi="inherit" w:cs="Times New Roman"/>
          <w:color w:val="0000FF"/>
          <w:sz w:val="32"/>
          <w:szCs w:val="32"/>
          <w:u w:val="single"/>
          <w:lang w:eastAsia="nl-BE"/>
        </w:rPr>
        <w:t>here</w:t>
      </w:r>
      <w:proofErr w:type="spellEnd"/>
      <w:r w:rsidRPr="002B0397">
        <w:rPr>
          <w:rFonts w:ascii="inherit" w:eastAsia="Times New Roman" w:hAnsi="inherit" w:cs="Times New Roman"/>
          <w:color w:val="0000FF"/>
          <w:sz w:val="32"/>
          <w:szCs w:val="32"/>
          <w:u w:val="single"/>
          <w:lang w:eastAsia="nl-BE"/>
        </w:rPr>
        <w:t>.</w:t>
      </w:r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fldChar w:fldCharType="end"/>
      </w:r>
    </w:p>
    <w:p w:rsidR="002B0397" w:rsidRPr="002B0397" w:rsidRDefault="002B0397" w:rsidP="002B039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Other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information</w:t>
      </w:r>
    </w:p>
    <w:p w:rsidR="002B0397" w:rsidRPr="002B0397" w:rsidRDefault="002B0397" w:rsidP="002B039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Estimates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based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on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Visible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Alpha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consensus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dated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25.4.24. The disclaimer is:</w:t>
      </w:r>
    </w:p>
    <w:p w:rsidR="002B0397" w:rsidRPr="002B0397" w:rsidRDefault="002B0397" w:rsidP="002B0397">
      <w:pPr>
        <w:spacing w:before="15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The information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provided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Visible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Alpha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cited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herein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provided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“as is”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“as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available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” without warranty of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kind.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Use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Visible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Alpha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data is at a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user’s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own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risk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Visible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Alpha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disclaims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liability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for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use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Visible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Alpha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data.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Although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information is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obtained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or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compiled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from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reliable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sources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Visible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Alpha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neither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can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nor does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guarantee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or make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representation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or warranty,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either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express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or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implied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as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accuracy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validity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sequence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timeliness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completeness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or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continued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availability of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information or data,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including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third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-party content, made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available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herein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. In no event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shall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Visible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Alpha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liable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for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decision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made or action or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inaction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taken in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reliance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on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information or data,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including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third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-party content.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Visible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Alpha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further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explicitly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disclaims,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fullest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extent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permitted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applicable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law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warranty of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kind,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whether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express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or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implied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including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warranties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merchantability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fitness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for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particular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purpose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non-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infringement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.</w:t>
      </w:r>
    </w:p>
    <w:p w:rsidR="002B0397" w:rsidRPr="002B0397" w:rsidRDefault="002B0397" w:rsidP="002B0397">
      <w:pPr>
        <w:spacing w:before="15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lastRenderedPageBreak/>
        <w:t xml:space="preserve">The consensus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estimate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based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on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estimates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forecasts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predictions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made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third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party financial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analysts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as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described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above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. It is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not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prepared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based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on information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provided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or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checked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can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only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seen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as a consensus view on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ArcelorMittal's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results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from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outside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perspective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.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has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not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provided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input on these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forecasts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except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referring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past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publicly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disclosed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information.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does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not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accept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responsibility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for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quality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or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accuracy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of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individual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forecast or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estimate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.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This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web page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may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contain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forward-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looking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statements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based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on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current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assumptions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forecasts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made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by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or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third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parties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.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Various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known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unknown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risks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uncertainties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other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factors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could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lead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to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material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differences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between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ArcelorMittal's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actual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future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results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financial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situation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, development or performance,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estimates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given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here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. These factors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include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those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discussed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in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ArcelorMittal's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periodic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reports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>available</w:t>
      </w:r>
      <w:proofErr w:type="spellEnd"/>
      <w:r w:rsidRPr="002B0397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on </w:t>
      </w:r>
      <w:hyperlink r:id="rId18" w:tgtFrame="_blank" w:history="1">
        <w:r w:rsidRPr="002B0397">
          <w:rPr>
            <w:rFonts w:ascii="inherit" w:eastAsia="Times New Roman" w:hAnsi="inherit" w:cs="Times New Roman"/>
            <w:color w:val="0000FF"/>
            <w:sz w:val="32"/>
            <w:szCs w:val="32"/>
            <w:u w:val="single"/>
            <w:lang w:eastAsia="nl-BE"/>
          </w:rPr>
          <w:t>http://corporate.arcelormittal.com/.</w:t>
        </w:r>
      </w:hyperlink>
    </w:p>
    <w:p w:rsidR="002B0397" w:rsidRPr="002B0397" w:rsidRDefault="002B0397" w:rsidP="002B0397">
      <w:pPr>
        <w:spacing w:before="300" w:after="150" w:line="240" w:lineRule="auto"/>
        <w:outlineLvl w:val="3"/>
        <w:rPr>
          <w:rFonts w:ascii="Arial" w:eastAsia="Times New Roman" w:hAnsi="Arial" w:cs="Arial"/>
          <w:color w:val="FF3700"/>
          <w:spacing w:val="-8"/>
          <w:sz w:val="32"/>
          <w:szCs w:val="32"/>
          <w:lang w:eastAsia="nl-BE"/>
        </w:rPr>
      </w:pPr>
      <w:r w:rsidRPr="002B0397">
        <w:rPr>
          <w:rFonts w:ascii="Arial" w:eastAsia="Times New Roman" w:hAnsi="Arial" w:cs="Arial"/>
          <w:color w:val="FF3700"/>
          <w:spacing w:val="-8"/>
          <w:sz w:val="32"/>
          <w:szCs w:val="32"/>
          <w:lang w:eastAsia="nl-BE"/>
        </w:rPr>
        <w:t xml:space="preserve">Contact </w:t>
      </w:r>
      <w:proofErr w:type="spellStart"/>
      <w:r w:rsidRPr="002B0397">
        <w:rPr>
          <w:rFonts w:ascii="Arial" w:eastAsia="Times New Roman" w:hAnsi="Arial" w:cs="Arial"/>
          <w:color w:val="FF3700"/>
          <w:spacing w:val="-8"/>
          <w:sz w:val="32"/>
          <w:szCs w:val="32"/>
          <w:lang w:eastAsia="nl-BE"/>
        </w:rPr>
        <w:t>Us</w:t>
      </w:r>
      <w:proofErr w:type="spellEnd"/>
    </w:p>
    <w:p w:rsidR="002B0397" w:rsidRPr="002B0397" w:rsidRDefault="002B0397" w:rsidP="002B0397">
      <w:pPr>
        <w:spacing w:before="150" w:after="150" w:line="240" w:lineRule="auto"/>
        <w:outlineLvl w:val="4"/>
        <w:rPr>
          <w:rFonts w:ascii="Arial" w:eastAsia="Times New Roman" w:hAnsi="Arial" w:cs="Arial"/>
          <w:b/>
          <w:bCs/>
          <w:spacing w:val="-8"/>
          <w:sz w:val="21"/>
          <w:szCs w:val="21"/>
          <w:lang w:eastAsia="nl-BE"/>
        </w:rPr>
      </w:pPr>
      <w:r w:rsidRPr="002B0397">
        <w:rPr>
          <w:rFonts w:ascii="Arial" w:eastAsia="Times New Roman" w:hAnsi="Arial" w:cs="Arial"/>
          <w:b/>
          <w:bCs/>
          <w:spacing w:val="-8"/>
          <w:sz w:val="21"/>
          <w:szCs w:val="21"/>
          <w:lang w:eastAsia="nl-BE"/>
        </w:rPr>
        <w:t xml:space="preserve">Contact information </w:t>
      </w:r>
      <w:proofErr w:type="spellStart"/>
      <w:r w:rsidRPr="002B0397">
        <w:rPr>
          <w:rFonts w:ascii="Arial" w:eastAsia="Times New Roman" w:hAnsi="Arial" w:cs="Arial"/>
          <w:b/>
          <w:bCs/>
          <w:spacing w:val="-8"/>
          <w:sz w:val="21"/>
          <w:szCs w:val="21"/>
          <w:lang w:eastAsia="nl-BE"/>
        </w:rPr>
        <w:t>ArcelorMittal</w:t>
      </w:r>
      <w:proofErr w:type="spellEnd"/>
      <w:r w:rsidRPr="002B0397">
        <w:rPr>
          <w:rFonts w:ascii="Arial" w:eastAsia="Times New Roman" w:hAnsi="Arial" w:cs="Arial"/>
          <w:b/>
          <w:bCs/>
          <w:spacing w:val="-8"/>
          <w:sz w:val="21"/>
          <w:szCs w:val="21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b/>
          <w:bCs/>
          <w:spacing w:val="-8"/>
          <w:sz w:val="21"/>
          <w:szCs w:val="21"/>
          <w:lang w:eastAsia="nl-BE"/>
        </w:rPr>
        <w:t>investor</w:t>
      </w:r>
      <w:proofErr w:type="spellEnd"/>
      <w:r w:rsidRPr="002B0397">
        <w:rPr>
          <w:rFonts w:ascii="Arial" w:eastAsia="Times New Roman" w:hAnsi="Arial" w:cs="Arial"/>
          <w:b/>
          <w:bCs/>
          <w:spacing w:val="-8"/>
          <w:sz w:val="21"/>
          <w:szCs w:val="21"/>
          <w:lang w:eastAsia="nl-BE"/>
        </w:rPr>
        <w:t xml:space="preserve"> relations</w:t>
      </w:r>
    </w:p>
    <w:p w:rsidR="002B0397" w:rsidRPr="002B0397" w:rsidRDefault="002B0397" w:rsidP="002B0397">
      <w:pPr>
        <w:numPr>
          <w:ilvl w:val="0"/>
          <w:numId w:val="4"/>
        </w:numPr>
        <w:pBdr>
          <w:bottom w:val="single" w:sz="6" w:space="4" w:color="001626"/>
        </w:pBd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BE"/>
        </w:rPr>
      </w:pPr>
      <w:r w:rsidRPr="002B0397">
        <w:rPr>
          <w:rFonts w:ascii="Times New Roman" w:eastAsia="Times New Roman" w:hAnsi="Times New Roman" w:cs="Times New Roman"/>
          <w:sz w:val="21"/>
          <w:szCs w:val="21"/>
          <w:lang w:eastAsia="nl-BE"/>
        </w:rPr>
        <w:t>General:</w:t>
      </w:r>
      <w:hyperlink r:id="rId19" w:history="1">
        <w:r w:rsidRPr="002B039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nl-BE"/>
          </w:rPr>
          <w:t>+44 207 543 1128</w:t>
        </w:r>
      </w:hyperlink>
    </w:p>
    <w:p w:rsidR="002B0397" w:rsidRPr="002B0397" w:rsidRDefault="002B0397" w:rsidP="002B0397">
      <w:pPr>
        <w:numPr>
          <w:ilvl w:val="0"/>
          <w:numId w:val="4"/>
        </w:numPr>
        <w:pBdr>
          <w:bottom w:val="single" w:sz="6" w:space="4" w:color="001626"/>
        </w:pBd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BE"/>
        </w:rPr>
      </w:pPr>
      <w:r w:rsidRPr="002B0397">
        <w:rPr>
          <w:rFonts w:ascii="Times New Roman" w:eastAsia="Times New Roman" w:hAnsi="Times New Roman" w:cs="Times New Roman"/>
          <w:sz w:val="21"/>
          <w:szCs w:val="21"/>
          <w:lang w:eastAsia="nl-BE"/>
        </w:rPr>
        <w:t>Retail:</w:t>
      </w:r>
      <w:hyperlink r:id="rId20" w:history="1">
        <w:r w:rsidRPr="002B039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nl-BE"/>
          </w:rPr>
          <w:t>+44 203 214 2893</w:t>
        </w:r>
      </w:hyperlink>
    </w:p>
    <w:p w:rsidR="002B0397" w:rsidRPr="002B0397" w:rsidRDefault="002B0397" w:rsidP="002B0397">
      <w:pPr>
        <w:numPr>
          <w:ilvl w:val="0"/>
          <w:numId w:val="4"/>
        </w:numPr>
        <w:pBdr>
          <w:bottom w:val="single" w:sz="6" w:space="4" w:color="001626"/>
        </w:pBd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BE"/>
        </w:rPr>
      </w:pPr>
      <w:r w:rsidRPr="002B0397">
        <w:rPr>
          <w:rFonts w:ascii="Times New Roman" w:eastAsia="Times New Roman" w:hAnsi="Times New Roman" w:cs="Times New Roman"/>
          <w:sz w:val="21"/>
          <w:szCs w:val="21"/>
          <w:lang w:eastAsia="nl-BE"/>
        </w:rPr>
        <w:t>SRI:</w:t>
      </w:r>
      <w:hyperlink r:id="rId21" w:history="1">
        <w:r w:rsidRPr="002B039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nl-BE"/>
          </w:rPr>
          <w:t>+44 203 214 2801</w:t>
        </w:r>
      </w:hyperlink>
    </w:p>
    <w:p w:rsidR="002B0397" w:rsidRPr="002B0397" w:rsidRDefault="002B0397" w:rsidP="002B0397">
      <w:pPr>
        <w:numPr>
          <w:ilvl w:val="0"/>
          <w:numId w:val="4"/>
        </w:numPr>
        <w:pBdr>
          <w:bottom w:val="single" w:sz="6" w:space="4" w:color="001626"/>
        </w:pBd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BE"/>
        </w:rPr>
      </w:pPr>
      <w:proofErr w:type="spellStart"/>
      <w:r w:rsidRPr="002B0397">
        <w:rPr>
          <w:rFonts w:ascii="Times New Roman" w:eastAsia="Times New Roman" w:hAnsi="Times New Roman" w:cs="Times New Roman"/>
          <w:sz w:val="21"/>
          <w:szCs w:val="21"/>
          <w:lang w:eastAsia="nl-BE"/>
        </w:rPr>
        <w:t>Bonds</w:t>
      </w:r>
      <w:proofErr w:type="spellEnd"/>
      <w:r w:rsidRPr="002B0397">
        <w:rPr>
          <w:rFonts w:ascii="Times New Roman" w:eastAsia="Times New Roman" w:hAnsi="Times New Roman" w:cs="Times New Roman"/>
          <w:sz w:val="21"/>
          <w:szCs w:val="21"/>
          <w:lang w:eastAsia="nl-BE"/>
        </w:rPr>
        <w:t>/Credit:</w:t>
      </w:r>
      <w:hyperlink r:id="rId22" w:history="1">
        <w:r w:rsidRPr="002B039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nl-BE"/>
          </w:rPr>
          <w:t>+33 1 71 92 1026</w:t>
        </w:r>
      </w:hyperlink>
    </w:p>
    <w:p w:rsidR="002B0397" w:rsidRPr="002B0397" w:rsidRDefault="002B0397" w:rsidP="002B0397">
      <w:pPr>
        <w:spacing w:before="150" w:after="150" w:line="240" w:lineRule="auto"/>
        <w:outlineLvl w:val="4"/>
        <w:rPr>
          <w:rFonts w:ascii="Arial" w:eastAsia="Times New Roman" w:hAnsi="Arial" w:cs="Arial"/>
          <w:b/>
          <w:bCs/>
          <w:spacing w:val="-8"/>
          <w:sz w:val="21"/>
          <w:szCs w:val="21"/>
          <w:lang w:eastAsia="nl-BE"/>
        </w:rPr>
      </w:pPr>
      <w:r w:rsidRPr="002B0397">
        <w:rPr>
          <w:rFonts w:ascii="Arial" w:eastAsia="Times New Roman" w:hAnsi="Arial" w:cs="Arial"/>
          <w:b/>
          <w:bCs/>
          <w:spacing w:val="-8"/>
          <w:sz w:val="21"/>
          <w:szCs w:val="21"/>
          <w:lang w:eastAsia="nl-BE"/>
        </w:rPr>
        <w:t xml:space="preserve">Contact information </w:t>
      </w:r>
      <w:proofErr w:type="spellStart"/>
      <w:r w:rsidRPr="002B0397">
        <w:rPr>
          <w:rFonts w:ascii="Arial" w:eastAsia="Times New Roman" w:hAnsi="Arial" w:cs="Arial"/>
          <w:b/>
          <w:bCs/>
          <w:spacing w:val="-8"/>
          <w:sz w:val="21"/>
          <w:szCs w:val="21"/>
          <w:lang w:eastAsia="nl-BE"/>
        </w:rPr>
        <w:t>ArcelorMittal</w:t>
      </w:r>
      <w:proofErr w:type="spellEnd"/>
      <w:r w:rsidRPr="002B0397">
        <w:rPr>
          <w:rFonts w:ascii="Arial" w:eastAsia="Times New Roman" w:hAnsi="Arial" w:cs="Arial"/>
          <w:b/>
          <w:bCs/>
          <w:spacing w:val="-8"/>
          <w:sz w:val="21"/>
          <w:szCs w:val="21"/>
          <w:lang w:eastAsia="nl-BE"/>
        </w:rPr>
        <w:t xml:space="preserve"> corporate </w:t>
      </w:r>
      <w:proofErr w:type="spellStart"/>
      <w:r w:rsidRPr="002B0397">
        <w:rPr>
          <w:rFonts w:ascii="Arial" w:eastAsia="Times New Roman" w:hAnsi="Arial" w:cs="Arial"/>
          <w:b/>
          <w:bCs/>
          <w:spacing w:val="-8"/>
          <w:sz w:val="21"/>
          <w:szCs w:val="21"/>
          <w:lang w:eastAsia="nl-BE"/>
        </w:rPr>
        <w:t>communications</w:t>
      </w:r>
      <w:proofErr w:type="spellEnd"/>
    </w:p>
    <w:p w:rsidR="002B0397" w:rsidRPr="002B0397" w:rsidRDefault="002B0397" w:rsidP="002B0397">
      <w:pPr>
        <w:numPr>
          <w:ilvl w:val="0"/>
          <w:numId w:val="5"/>
        </w:numPr>
        <w:pBdr>
          <w:bottom w:val="single" w:sz="6" w:space="4" w:color="001626"/>
        </w:pBd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BE"/>
        </w:rPr>
      </w:pPr>
      <w:r w:rsidRPr="002B0397">
        <w:rPr>
          <w:rFonts w:ascii="Times New Roman" w:eastAsia="Times New Roman" w:hAnsi="Times New Roman" w:cs="Times New Roman"/>
          <w:sz w:val="21"/>
          <w:szCs w:val="21"/>
          <w:lang w:eastAsia="nl-BE"/>
        </w:rPr>
        <w:t>Email:</w:t>
      </w:r>
      <w:hyperlink r:id="rId23" w:history="1">
        <w:r w:rsidRPr="002B039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nl-BE"/>
          </w:rPr>
          <w:t>press@arcelormittal.com</w:t>
        </w:r>
      </w:hyperlink>
    </w:p>
    <w:p w:rsidR="002B0397" w:rsidRPr="002B0397" w:rsidRDefault="002B0397" w:rsidP="002B0397">
      <w:pPr>
        <w:numPr>
          <w:ilvl w:val="0"/>
          <w:numId w:val="5"/>
        </w:numPr>
        <w:pBdr>
          <w:bottom w:val="single" w:sz="6" w:space="4" w:color="001626"/>
        </w:pBd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nl-BE"/>
        </w:rPr>
      </w:pPr>
      <w:r w:rsidRPr="002B0397">
        <w:rPr>
          <w:rFonts w:ascii="Times New Roman" w:eastAsia="Times New Roman" w:hAnsi="Times New Roman" w:cs="Times New Roman"/>
          <w:sz w:val="21"/>
          <w:szCs w:val="21"/>
          <w:lang w:eastAsia="nl-BE"/>
        </w:rPr>
        <w:t>Paul Weigh</w:t>
      </w:r>
      <w:hyperlink r:id="rId24" w:history="1">
        <w:r w:rsidRPr="002B039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nl-BE"/>
          </w:rPr>
          <w:t>+44 203 214 2419</w:t>
        </w:r>
      </w:hyperlink>
    </w:p>
    <w:p w:rsidR="002B0397" w:rsidRPr="002B0397" w:rsidRDefault="002B0397" w:rsidP="002B0397">
      <w:pPr>
        <w:spacing w:after="150" w:line="240" w:lineRule="auto"/>
        <w:rPr>
          <w:rFonts w:ascii="Arial" w:eastAsia="Times New Roman" w:hAnsi="Arial" w:cs="Arial"/>
          <w:sz w:val="32"/>
          <w:szCs w:val="32"/>
          <w:lang w:eastAsia="nl-BE"/>
        </w:rPr>
      </w:pPr>
      <w:proofErr w:type="spellStart"/>
      <w:r w:rsidRPr="002B0397">
        <w:rPr>
          <w:rFonts w:ascii="Arial" w:eastAsia="Times New Roman" w:hAnsi="Arial" w:cs="Arial"/>
          <w:sz w:val="32"/>
          <w:szCs w:val="32"/>
          <w:lang w:eastAsia="nl-BE"/>
        </w:rPr>
        <w:t>About</w:t>
      </w:r>
      <w:proofErr w:type="spellEnd"/>
      <w:r w:rsidRPr="002B0397">
        <w:rPr>
          <w:rFonts w:ascii="Arial" w:eastAsia="Times New Roman" w:hAnsi="Arial" w:cs="Arial"/>
          <w:sz w:val="32"/>
          <w:szCs w:val="32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32"/>
          <w:szCs w:val="32"/>
          <w:lang w:eastAsia="nl-BE"/>
        </w:rPr>
        <w:t>ArcelorMittal</w:t>
      </w:r>
      <w:proofErr w:type="spellEnd"/>
    </w:p>
    <w:p w:rsidR="002B0397" w:rsidRPr="002B0397" w:rsidRDefault="002B0397" w:rsidP="002B0397">
      <w:pPr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nl-BE"/>
        </w:rPr>
      </w:pP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ArcelorMittal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is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one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of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the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world’s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leading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integrated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steel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and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mining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companies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with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a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presence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in 60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countries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and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primary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steelmaking operations in 15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countries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. It is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the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largest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steel producer in Europe,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among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the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largest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in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the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Americas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,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and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has a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growing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presence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in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Asia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through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its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joint venture AM/NS India.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ArcelorMittal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sells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its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products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to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a diverse range of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customers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including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the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automotive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, engineering,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construction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and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machinery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industries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,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and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in 2023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generated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revenues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of $68.3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billion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,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produced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58.1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million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metric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tonnes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of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crude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steel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and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, 42.0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million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tonnes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of iron ore.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Our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purpose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is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to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produce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smarter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steels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for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people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and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planet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. Steels made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using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innovative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processes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which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use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less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energy,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emit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significantly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less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carbon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and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reduce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costs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. Steels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that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are cleaner,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stronger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and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reusable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. Steels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for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the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renewable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energy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infrastructure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that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will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support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societies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as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they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transform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through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this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century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.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With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steel at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our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core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,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our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inventive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people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and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an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entrepreneurial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culture at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heart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, we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will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support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the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world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in making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that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change.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ArcelorMittal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is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listed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on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the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stock exchanges of New York (MT), Amsterdam (MT), </w:t>
      </w:r>
      <w:r w:rsidRPr="002B0397">
        <w:rPr>
          <w:rFonts w:ascii="Arial" w:eastAsia="Times New Roman" w:hAnsi="Arial" w:cs="Arial"/>
          <w:sz w:val="24"/>
          <w:szCs w:val="24"/>
          <w:lang w:eastAsia="nl-BE"/>
        </w:rPr>
        <w:lastRenderedPageBreak/>
        <w:t xml:space="preserve">Paris (MT), Luxembourg (MT)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and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on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the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Spanish stock exchanges of Barcelona, Bilbao, Madrid </w:t>
      </w:r>
      <w:proofErr w:type="spellStart"/>
      <w:r w:rsidRPr="002B0397">
        <w:rPr>
          <w:rFonts w:ascii="Arial" w:eastAsia="Times New Roman" w:hAnsi="Arial" w:cs="Arial"/>
          <w:sz w:val="24"/>
          <w:szCs w:val="24"/>
          <w:lang w:eastAsia="nl-BE"/>
        </w:rPr>
        <w:t>and</w:t>
      </w:r>
      <w:proofErr w:type="spellEnd"/>
      <w:r w:rsidRPr="002B0397">
        <w:rPr>
          <w:rFonts w:ascii="Arial" w:eastAsia="Times New Roman" w:hAnsi="Arial" w:cs="Arial"/>
          <w:sz w:val="24"/>
          <w:szCs w:val="24"/>
          <w:lang w:eastAsia="nl-BE"/>
        </w:rPr>
        <w:t xml:space="preserve"> Valencia (MTS).</w:t>
      </w:r>
    </w:p>
    <w:p w:rsidR="002B0397" w:rsidRPr="002B0397" w:rsidRDefault="002B0397" w:rsidP="002B0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25" w:tgtFrame="_blank" w:history="1">
        <w:r w:rsidRPr="002B0397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nl-BE"/>
          </w:rPr>
          <w:t>http://corporate.arcelormittal.com/</w:t>
        </w:r>
      </w:hyperlink>
    </w:p>
    <w:p w:rsidR="002B0397" w:rsidRPr="002B0397" w:rsidRDefault="002B0397" w:rsidP="002B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26" w:history="1">
        <w:r w:rsidRPr="002B0397">
          <w:rPr>
            <w:rFonts w:ascii="Arial" w:eastAsia="Times New Roman" w:hAnsi="Arial" w:cs="Arial"/>
            <w:color w:val="2A2A2A"/>
            <w:sz w:val="27"/>
            <w:szCs w:val="27"/>
            <w:u w:val="single"/>
            <w:bdr w:val="single" w:sz="6" w:space="17" w:color="FF3700" w:frame="1"/>
            <w:lang w:eastAsia="nl-BE"/>
          </w:rPr>
          <w:t xml:space="preserve">View </w:t>
        </w:r>
        <w:proofErr w:type="spellStart"/>
        <w:r w:rsidRPr="002B0397">
          <w:rPr>
            <w:rFonts w:ascii="Arial" w:eastAsia="Times New Roman" w:hAnsi="Arial" w:cs="Arial"/>
            <w:color w:val="2A2A2A"/>
            <w:sz w:val="27"/>
            <w:szCs w:val="27"/>
            <w:u w:val="single"/>
            <w:bdr w:val="single" w:sz="6" w:space="17" w:color="FF3700" w:frame="1"/>
            <w:lang w:eastAsia="nl-BE"/>
          </w:rPr>
          <w:t>all</w:t>
        </w:r>
        <w:proofErr w:type="spellEnd"/>
        <w:r w:rsidRPr="002B0397">
          <w:rPr>
            <w:rFonts w:ascii="Arial" w:eastAsia="Times New Roman" w:hAnsi="Arial" w:cs="Arial"/>
            <w:color w:val="2A2A2A"/>
            <w:sz w:val="27"/>
            <w:szCs w:val="27"/>
            <w:u w:val="single"/>
            <w:bdr w:val="single" w:sz="6" w:space="17" w:color="FF3700" w:frame="1"/>
            <w:lang w:eastAsia="nl-BE"/>
          </w:rPr>
          <w:t xml:space="preserve"> Press Releases</w:t>
        </w:r>
      </w:hyperlink>
    </w:p>
    <w:p w:rsidR="002B0397" w:rsidRPr="002B0397" w:rsidRDefault="002B0397" w:rsidP="002B0397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3700"/>
          <w:sz w:val="24"/>
          <w:szCs w:val="24"/>
          <w:lang w:eastAsia="nl-BE"/>
        </w:rPr>
      </w:pPr>
      <w:hyperlink r:id="rId27" w:history="1">
        <w:r w:rsidRPr="002B03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BE"/>
          </w:rPr>
          <w:t xml:space="preserve">Back </w:t>
        </w:r>
        <w:proofErr w:type="spellStart"/>
        <w:r w:rsidRPr="002B03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BE"/>
          </w:rPr>
          <w:t>to</w:t>
        </w:r>
        <w:proofErr w:type="spellEnd"/>
        <w:r w:rsidRPr="002B03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BE"/>
          </w:rPr>
          <w:t xml:space="preserve"> top</w:t>
        </w:r>
      </w:hyperlink>
    </w:p>
    <w:p w:rsidR="002B0397" w:rsidRPr="002B0397" w:rsidRDefault="002B0397" w:rsidP="002B0397">
      <w:pPr>
        <w:spacing w:after="240" w:line="240" w:lineRule="auto"/>
        <w:outlineLvl w:val="2"/>
        <w:rPr>
          <w:rFonts w:ascii="Arial" w:eastAsia="Times New Roman" w:hAnsi="Arial" w:cs="Arial"/>
          <w:spacing w:val="-8"/>
          <w:sz w:val="42"/>
          <w:szCs w:val="42"/>
          <w:lang w:eastAsia="nl-BE"/>
        </w:rPr>
      </w:pPr>
      <w:proofErr w:type="spellStart"/>
      <w:r w:rsidRPr="002B0397">
        <w:rPr>
          <w:rFonts w:ascii="Arial" w:eastAsia="Times New Roman" w:hAnsi="Arial" w:cs="Arial"/>
          <w:spacing w:val="-8"/>
          <w:sz w:val="42"/>
          <w:szCs w:val="42"/>
          <w:lang w:eastAsia="nl-BE"/>
        </w:rPr>
        <w:t>Subscribe</w:t>
      </w:r>
      <w:proofErr w:type="spellEnd"/>
    </w:p>
    <w:p w:rsidR="002B0397" w:rsidRPr="002B0397" w:rsidRDefault="002B0397" w:rsidP="002B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28" w:tgtFrame="_blank" w:history="1">
        <w:proofErr w:type="spellStart"/>
        <w:r w:rsidRPr="002B0397">
          <w:rPr>
            <w:rFonts w:ascii="Arial" w:eastAsia="Times New Roman" w:hAnsi="Arial" w:cs="Arial"/>
            <w:color w:val="FFFFFF"/>
            <w:sz w:val="27"/>
            <w:szCs w:val="27"/>
            <w:u w:val="single"/>
            <w:bdr w:val="single" w:sz="6" w:space="17" w:color="FFFFFF" w:frame="1"/>
            <w:lang w:eastAsia="nl-BE"/>
          </w:rPr>
          <w:t>Sign</w:t>
        </w:r>
        <w:proofErr w:type="spellEnd"/>
        <w:r w:rsidRPr="002B0397">
          <w:rPr>
            <w:rFonts w:ascii="Arial" w:eastAsia="Times New Roman" w:hAnsi="Arial" w:cs="Arial"/>
            <w:color w:val="FFFFFF"/>
            <w:sz w:val="27"/>
            <w:szCs w:val="27"/>
            <w:u w:val="single"/>
            <w:bdr w:val="single" w:sz="6" w:space="17" w:color="FFFFFF" w:frame="1"/>
            <w:lang w:eastAsia="nl-BE"/>
          </w:rPr>
          <w:t xml:space="preserve"> up </w:t>
        </w:r>
        <w:proofErr w:type="spellStart"/>
        <w:r w:rsidRPr="002B0397">
          <w:rPr>
            <w:rFonts w:ascii="Arial" w:eastAsia="Times New Roman" w:hAnsi="Arial" w:cs="Arial"/>
            <w:color w:val="FFFFFF"/>
            <w:sz w:val="27"/>
            <w:szCs w:val="27"/>
            <w:u w:val="single"/>
            <w:bdr w:val="single" w:sz="6" w:space="17" w:color="FFFFFF" w:frame="1"/>
            <w:lang w:eastAsia="nl-BE"/>
          </w:rPr>
          <w:t>for</w:t>
        </w:r>
        <w:proofErr w:type="spellEnd"/>
        <w:r w:rsidRPr="002B0397">
          <w:rPr>
            <w:rFonts w:ascii="Arial" w:eastAsia="Times New Roman" w:hAnsi="Arial" w:cs="Arial"/>
            <w:color w:val="FFFFFF"/>
            <w:sz w:val="27"/>
            <w:szCs w:val="27"/>
            <w:u w:val="single"/>
            <w:bdr w:val="single" w:sz="6" w:space="17" w:color="FFFFFF" w:frame="1"/>
            <w:lang w:eastAsia="nl-BE"/>
          </w:rPr>
          <w:t xml:space="preserve"> alerts</w:t>
        </w:r>
      </w:hyperlink>
    </w:p>
    <w:p w:rsidR="002B0397" w:rsidRPr="002B0397" w:rsidRDefault="002B0397" w:rsidP="002B0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2B039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BE"/>
        </w:rPr>
        <w:drawing>
          <wp:inline distT="0" distB="0" distL="0" distR="0">
            <wp:extent cx="4724400" cy="2446020"/>
            <wp:effectExtent l="0" t="0" r="0" b="0"/>
            <wp:docPr id="1" name="Afbeelding 1" descr="https://corporate.arcelormittal.com/media/2nfhtll4/group-67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rporate.arcelormittal.com/media/2nfhtll4/group-67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397" w:rsidRPr="002B0397" w:rsidRDefault="002B0397" w:rsidP="002B0397">
      <w:pPr>
        <w:spacing w:before="150" w:after="105" w:line="240" w:lineRule="auto"/>
        <w:rPr>
          <w:rFonts w:ascii="Arial" w:eastAsia="Times New Roman" w:hAnsi="Arial" w:cs="Arial"/>
          <w:spacing w:val="8"/>
          <w:sz w:val="21"/>
          <w:szCs w:val="21"/>
          <w:lang w:eastAsia="nl-BE"/>
        </w:rPr>
      </w:pPr>
      <w:r w:rsidRPr="002B0397">
        <w:rPr>
          <w:rFonts w:ascii="Arial" w:eastAsia="Times New Roman" w:hAnsi="Arial" w:cs="Arial"/>
          <w:spacing w:val="8"/>
          <w:sz w:val="21"/>
          <w:szCs w:val="21"/>
          <w:lang w:eastAsia="nl-BE"/>
        </w:rPr>
        <w:t xml:space="preserve">©2024 </w:t>
      </w:r>
      <w:proofErr w:type="spellStart"/>
      <w:r w:rsidRPr="002B0397">
        <w:rPr>
          <w:rFonts w:ascii="Arial" w:eastAsia="Times New Roman" w:hAnsi="Arial" w:cs="Arial"/>
          <w:spacing w:val="8"/>
          <w:sz w:val="21"/>
          <w:szCs w:val="21"/>
          <w:lang w:eastAsia="nl-BE"/>
        </w:rPr>
        <w:t>ArcelorMittal</w:t>
      </w:r>
      <w:proofErr w:type="spellEnd"/>
    </w:p>
    <w:p w:rsidR="002B0397" w:rsidRPr="002B0397" w:rsidRDefault="002B0397" w:rsidP="002B0397">
      <w:pPr>
        <w:numPr>
          <w:ilvl w:val="0"/>
          <w:numId w:val="6"/>
        </w:numPr>
        <w:spacing w:before="150" w:after="4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31" w:history="1">
        <w:r w:rsidRPr="002B03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nl-BE"/>
          </w:rPr>
          <w:t xml:space="preserve">Corporate </w:t>
        </w:r>
        <w:proofErr w:type="spellStart"/>
        <w:r w:rsidRPr="002B03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nl-BE"/>
          </w:rPr>
          <w:t>library</w:t>
        </w:r>
        <w:proofErr w:type="spellEnd"/>
      </w:hyperlink>
    </w:p>
    <w:p w:rsidR="002B0397" w:rsidRPr="002B0397" w:rsidRDefault="002B0397" w:rsidP="002B0397">
      <w:pPr>
        <w:numPr>
          <w:ilvl w:val="0"/>
          <w:numId w:val="6"/>
        </w:numPr>
        <w:spacing w:before="150" w:after="4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32" w:history="1">
        <w:r w:rsidRPr="002B03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nl-BE"/>
          </w:rPr>
          <w:t xml:space="preserve">Contact </w:t>
        </w:r>
        <w:proofErr w:type="spellStart"/>
        <w:r w:rsidRPr="002B03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nl-BE"/>
          </w:rPr>
          <w:t>us</w:t>
        </w:r>
        <w:proofErr w:type="spellEnd"/>
      </w:hyperlink>
    </w:p>
    <w:p w:rsidR="002B0397" w:rsidRPr="002B0397" w:rsidRDefault="002B0397" w:rsidP="002B0397">
      <w:pPr>
        <w:numPr>
          <w:ilvl w:val="0"/>
          <w:numId w:val="6"/>
        </w:numPr>
        <w:spacing w:before="150" w:after="4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33" w:history="1">
        <w:r w:rsidRPr="002B03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nl-BE"/>
          </w:rPr>
          <w:t>Suppliers</w:t>
        </w:r>
      </w:hyperlink>
    </w:p>
    <w:p w:rsidR="002B0397" w:rsidRPr="002B0397" w:rsidRDefault="002B0397" w:rsidP="002B0397">
      <w:pPr>
        <w:numPr>
          <w:ilvl w:val="0"/>
          <w:numId w:val="6"/>
        </w:numPr>
        <w:spacing w:before="150" w:after="4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34" w:history="1">
        <w:proofErr w:type="spellStart"/>
        <w:r w:rsidRPr="002B03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nl-BE"/>
          </w:rPr>
          <w:t>Terms</w:t>
        </w:r>
        <w:proofErr w:type="spellEnd"/>
        <w:r w:rsidRPr="002B03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nl-BE"/>
          </w:rPr>
          <w:t xml:space="preserve"> of </w:t>
        </w:r>
        <w:proofErr w:type="spellStart"/>
        <w:r w:rsidRPr="002B03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nl-BE"/>
          </w:rPr>
          <w:t>Use</w:t>
        </w:r>
        <w:proofErr w:type="spellEnd"/>
      </w:hyperlink>
    </w:p>
    <w:p w:rsidR="002B0397" w:rsidRPr="002B0397" w:rsidRDefault="002B0397" w:rsidP="002B0397">
      <w:pPr>
        <w:numPr>
          <w:ilvl w:val="0"/>
          <w:numId w:val="6"/>
        </w:numPr>
        <w:spacing w:before="150" w:after="4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35" w:history="1">
        <w:r w:rsidRPr="002B03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nl-BE"/>
          </w:rPr>
          <w:t>Privacy Policy</w:t>
        </w:r>
      </w:hyperlink>
    </w:p>
    <w:p w:rsidR="002B0397" w:rsidRPr="002B0397" w:rsidRDefault="002B0397" w:rsidP="002B0397">
      <w:pPr>
        <w:numPr>
          <w:ilvl w:val="0"/>
          <w:numId w:val="6"/>
        </w:numPr>
        <w:spacing w:before="150" w:after="4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36" w:history="1">
        <w:r w:rsidRPr="002B03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nl-BE"/>
          </w:rPr>
          <w:t>Accessibility</w:t>
        </w:r>
      </w:hyperlink>
    </w:p>
    <w:p w:rsidR="002B0397" w:rsidRPr="002B0397" w:rsidRDefault="002B0397" w:rsidP="002B0397">
      <w:pPr>
        <w:numPr>
          <w:ilvl w:val="0"/>
          <w:numId w:val="6"/>
        </w:numPr>
        <w:spacing w:before="150" w:after="4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hyperlink r:id="rId37" w:history="1">
        <w:r w:rsidRPr="002B03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nl-BE"/>
          </w:rPr>
          <w:t xml:space="preserve">UK Modern </w:t>
        </w:r>
        <w:proofErr w:type="spellStart"/>
        <w:r w:rsidRPr="002B03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nl-BE"/>
          </w:rPr>
          <w:t>Slavery</w:t>
        </w:r>
        <w:proofErr w:type="spellEnd"/>
        <w:r w:rsidRPr="002B03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nl-BE"/>
          </w:rPr>
          <w:t xml:space="preserve"> Act</w:t>
        </w:r>
      </w:hyperlink>
    </w:p>
    <w:p w:rsidR="00E329B0" w:rsidRDefault="00E329B0">
      <w:bookmarkStart w:id="0" w:name="_GoBack"/>
      <w:bookmarkEnd w:id="0"/>
    </w:p>
    <w:sectPr w:rsidR="00E32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4A53"/>
    <w:multiLevelType w:val="multilevel"/>
    <w:tmpl w:val="23EC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F3551"/>
    <w:multiLevelType w:val="multilevel"/>
    <w:tmpl w:val="2A32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33B0C"/>
    <w:multiLevelType w:val="multilevel"/>
    <w:tmpl w:val="EDE8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D2491"/>
    <w:multiLevelType w:val="multilevel"/>
    <w:tmpl w:val="2B26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D6BE0"/>
    <w:multiLevelType w:val="multilevel"/>
    <w:tmpl w:val="87D0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D6B32"/>
    <w:multiLevelType w:val="multilevel"/>
    <w:tmpl w:val="54D2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97"/>
    <w:rsid w:val="002B0397"/>
    <w:rsid w:val="00E3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C3974-011E-4643-8EAF-19B83FF8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2B0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3">
    <w:name w:val="heading 3"/>
    <w:basedOn w:val="Standaard"/>
    <w:link w:val="Kop3Char"/>
    <w:uiPriority w:val="9"/>
    <w:qFormat/>
    <w:rsid w:val="002B0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Kop4">
    <w:name w:val="heading 4"/>
    <w:basedOn w:val="Standaard"/>
    <w:link w:val="Kop4Char"/>
    <w:uiPriority w:val="9"/>
    <w:qFormat/>
    <w:rsid w:val="002B03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paragraph" w:styleId="Kop5">
    <w:name w:val="heading 5"/>
    <w:basedOn w:val="Standaard"/>
    <w:link w:val="Kop5Char"/>
    <w:uiPriority w:val="9"/>
    <w:qFormat/>
    <w:rsid w:val="002B03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0397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rsid w:val="002B0397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2B0397"/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customStyle="1" w:styleId="Kop5Char">
    <w:name w:val="Kop 5 Char"/>
    <w:basedOn w:val="Standaardalinea-lettertype"/>
    <w:link w:val="Kop5"/>
    <w:uiPriority w:val="9"/>
    <w:rsid w:val="002B0397"/>
    <w:rPr>
      <w:rFonts w:ascii="Times New Roman" w:eastAsia="Times New Roman" w:hAnsi="Times New Roman" w:cs="Times New Roman"/>
      <w:b/>
      <w:bCs/>
      <w:sz w:val="20"/>
      <w:szCs w:val="20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2B0397"/>
    <w:rPr>
      <w:color w:val="0000FF"/>
      <w:u w:val="single"/>
    </w:rPr>
  </w:style>
  <w:style w:type="paragraph" w:customStyle="1" w:styleId="stock-price-tickerdisplay-ticker">
    <w:name w:val="stock-price-ticker__display-ticker"/>
    <w:basedOn w:val="Standaard"/>
    <w:rsid w:val="002B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stock-price-tickerarrow">
    <w:name w:val="stock-price-ticker__arrow"/>
    <w:basedOn w:val="Standaardalinea-lettertype"/>
    <w:rsid w:val="002B0397"/>
  </w:style>
  <w:style w:type="paragraph" w:customStyle="1" w:styleId="stock-price-tickertext">
    <w:name w:val="stock-price-ticker__text"/>
    <w:basedOn w:val="Standaard"/>
    <w:rsid w:val="002B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article-heroarticle-datetime">
    <w:name w:val="article-hero__article-datetime"/>
    <w:basedOn w:val="Standaard"/>
    <w:rsid w:val="002B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breadcrumbseparator">
    <w:name w:val="breadcrumb__separator"/>
    <w:basedOn w:val="Standaardalinea-lettertype"/>
    <w:rsid w:val="002B0397"/>
  </w:style>
  <w:style w:type="paragraph" w:styleId="Normaalweb">
    <w:name w:val="Normal (Web)"/>
    <w:basedOn w:val="Standaard"/>
    <w:uiPriority w:val="99"/>
    <w:semiHidden/>
    <w:unhideWhenUsed/>
    <w:rsid w:val="002B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2B0397"/>
    <w:rPr>
      <w:b/>
      <w:bCs/>
    </w:rPr>
  </w:style>
  <w:style w:type="character" w:customStyle="1" w:styleId="contact-list-itemheading">
    <w:name w:val="contact-list-item__heading"/>
    <w:basedOn w:val="Standaardalinea-lettertype"/>
    <w:rsid w:val="002B0397"/>
  </w:style>
  <w:style w:type="character" w:customStyle="1" w:styleId="contact-list-itemcontact">
    <w:name w:val="contact-list-item__contact"/>
    <w:basedOn w:val="Standaardalinea-lettertype"/>
    <w:rsid w:val="002B0397"/>
  </w:style>
  <w:style w:type="paragraph" w:customStyle="1" w:styleId="article-disclaimerheading">
    <w:name w:val="article-disclaimer__heading"/>
    <w:basedOn w:val="Standaard"/>
    <w:rsid w:val="002B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article-disclaimertext">
    <w:name w:val="article-disclaimer__text"/>
    <w:basedOn w:val="Standaard"/>
    <w:rsid w:val="002B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scroll-to-top">
    <w:name w:val="scroll-to-top"/>
    <w:basedOn w:val="Standaard"/>
    <w:rsid w:val="002B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site-footercopyright">
    <w:name w:val="site-footer__copyright"/>
    <w:basedOn w:val="Standaard"/>
    <w:rsid w:val="002B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88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1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1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9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17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6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2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567">
                      <w:marLeft w:val="0"/>
                      <w:marRight w:val="0"/>
                      <w:marTop w:val="1440"/>
                      <w:marBottom w:val="1440"/>
                      <w:divBdr>
                        <w:top w:val="single" w:sz="6" w:space="16" w:color="000000"/>
                        <w:left w:val="none" w:sz="0" w:space="0" w:color="auto"/>
                        <w:bottom w:val="single" w:sz="6" w:space="16" w:color="000000"/>
                        <w:right w:val="none" w:sz="0" w:space="0" w:color="auto"/>
                      </w:divBdr>
                    </w:div>
                  </w:divsChild>
                </w:div>
                <w:div w:id="13055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85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5929">
                  <w:marLeft w:val="-300"/>
                  <w:marRight w:val="0"/>
                  <w:marTop w:val="3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arcelormittal.com/investors/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corporate.arcelormittal.com/" TargetMode="External"/><Relationship Id="rId26" Type="http://schemas.openxmlformats.org/officeDocument/2006/relationships/hyperlink" Target="https://corporate.arcelormittal.com/media/press-releases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tel:+44%20203%20214%202801" TargetMode="External"/><Relationship Id="rId34" Type="http://schemas.openxmlformats.org/officeDocument/2006/relationships/hyperlink" Target="https://corporate.arcelormittal.com/terms-of-use/" TargetMode="External"/><Relationship Id="rId7" Type="http://schemas.openxmlformats.org/officeDocument/2006/relationships/hyperlink" Target="https://corporate.arcelormittal.com/industries/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s://corporate.arcelormittal.com/media/press-releases/" TargetMode="External"/><Relationship Id="rId25" Type="http://schemas.openxmlformats.org/officeDocument/2006/relationships/hyperlink" Target="http://corporate.arcelormittal.com/" TargetMode="External"/><Relationship Id="rId33" Type="http://schemas.openxmlformats.org/officeDocument/2006/relationships/hyperlink" Target="https://corporate.arcelormittal.com/suppliers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rporate.arcelormittal.com/media/" TargetMode="External"/><Relationship Id="rId20" Type="http://schemas.openxmlformats.org/officeDocument/2006/relationships/hyperlink" Target="tel:+44%20203%20214%202893" TargetMode="External"/><Relationship Id="rId29" Type="http://schemas.openxmlformats.org/officeDocument/2006/relationships/hyperlink" Target="https://corporate.arcelormittal.com/paris-202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rporate.arcelormittal.com/smarter-future/" TargetMode="External"/><Relationship Id="rId11" Type="http://schemas.openxmlformats.org/officeDocument/2006/relationships/hyperlink" Target="https://corporate.arcelormittal.com/media/" TargetMode="External"/><Relationship Id="rId24" Type="http://schemas.openxmlformats.org/officeDocument/2006/relationships/hyperlink" Target="tel:+44%20203%20214%202419" TargetMode="External"/><Relationship Id="rId32" Type="http://schemas.openxmlformats.org/officeDocument/2006/relationships/hyperlink" Target="https://corporate.arcelormittal.com/contact-us/" TargetMode="External"/><Relationship Id="rId37" Type="http://schemas.openxmlformats.org/officeDocument/2006/relationships/hyperlink" Target="https://corporate.arcelormittal.com/uk-modern-slavery-act/" TargetMode="External"/><Relationship Id="rId5" Type="http://schemas.openxmlformats.org/officeDocument/2006/relationships/hyperlink" Target="https://corporate.arcelormittal.com/climate-action/" TargetMode="External"/><Relationship Id="rId15" Type="http://schemas.openxmlformats.org/officeDocument/2006/relationships/hyperlink" Target="https://corporate.arcelormittal.com/" TargetMode="External"/><Relationship Id="rId23" Type="http://schemas.openxmlformats.org/officeDocument/2006/relationships/hyperlink" Target="mailto:press@arcelormittal.com" TargetMode="External"/><Relationship Id="rId28" Type="http://schemas.openxmlformats.org/officeDocument/2006/relationships/hyperlink" Target="http://preferences.arcelormittal.com/" TargetMode="External"/><Relationship Id="rId36" Type="http://schemas.openxmlformats.org/officeDocument/2006/relationships/hyperlink" Target="https://corporate.arcelormittal.com/accessibility/" TargetMode="External"/><Relationship Id="rId10" Type="http://schemas.openxmlformats.org/officeDocument/2006/relationships/hyperlink" Target="https://corporate.arcelormittal.com/careers/" TargetMode="External"/><Relationship Id="rId19" Type="http://schemas.openxmlformats.org/officeDocument/2006/relationships/hyperlink" Target="tel:+44%20207%20543%201128" TargetMode="External"/><Relationship Id="rId31" Type="http://schemas.openxmlformats.org/officeDocument/2006/relationships/hyperlink" Target="https://corporate.arcelormittal.com/corporate-libr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porate.arcelormittal.com/sustainability/" TargetMode="External"/><Relationship Id="rId14" Type="http://schemas.openxmlformats.org/officeDocument/2006/relationships/image" Target="media/image2.jpeg"/><Relationship Id="rId22" Type="http://schemas.openxmlformats.org/officeDocument/2006/relationships/hyperlink" Target="tel:+33%201%2071%2092%201026" TargetMode="External"/><Relationship Id="rId27" Type="http://schemas.openxmlformats.org/officeDocument/2006/relationships/hyperlink" Target="https://corporate.arcelormittal.com/" TargetMode="External"/><Relationship Id="rId30" Type="http://schemas.openxmlformats.org/officeDocument/2006/relationships/image" Target="media/image3.png"/><Relationship Id="rId35" Type="http://schemas.openxmlformats.org/officeDocument/2006/relationships/hyperlink" Target="https://corporate.arcelormittal.com/corporate-library/privacy-policy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1180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2024-04-26T06:21:00Z</dcterms:created>
  <dcterms:modified xsi:type="dcterms:W3CDTF">2024-04-26T06:22:00Z</dcterms:modified>
</cp:coreProperties>
</file>